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atLeast"/>
        <w:ind w:firstLine="120" w:firstLineChars="50"/>
        <w:jc w:val="right"/>
        <w:rPr>
          <w:rFonts w:ascii="宋体" w:hAnsi="宋体" w:cs="宋体"/>
          <w:b/>
          <w:bCs/>
          <w:snapToGrid w:val="0"/>
          <w:kern w:val="0"/>
          <w:sz w:val="24"/>
        </w:rPr>
      </w:pPr>
      <w:r>
        <w:rPr>
          <w:rFonts w:hint="eastAsia" w:ascii="宋体" w:hAnsi="宋体" w:cs="宋体"/>
          <w:b/>
          <w:bCs/>
          <w:snapToGrid w:val="0"/>
          <w:kern w:val="0"/>
          <w:sz w:val="24"/>
        </w:rPr>
        <w:t>报告编号：DAAPKM-202</w:t>
      </w:r>
      <w:r>
        <w:rPr>
          <w:rFonts w:hint="eastAsia" w:ascii="宋体" w:hAnsi="宋体" w:cs="宋体"/>
          <w:b/>
          <w:bCs/>
          <w:snapToGrid w:val="0"/>
          <w:kern w:val="0"/>
          <w:sz w:val="24"/>
          <w:lang w:val="en-US" w:eastAsia="zh-CN"/>
        </w:rPr>
        <w:t>4</w:t>
      </w:r>
      <w:r>
        <w:rPr>
          <w:rFonts w:hint="eastAsia" w:ascii="宋体" w:hAnsi="宋体" w:cs="宋体"/>
          <w:b/>
          <w:bCs/>
          <w:snapToGrid w:val="0"/>
          <w:kern w:val="0"/>
          <w:sz w:val="24"/>
        </w:rPr>
        <w:t>-25</w:t>
      </w:r>
    </w:p>
    <w:p>
      <w:pPr>
        <w:spacing w:line="500" w:lineRule="atLeast"/>
        <w:jc w:val="center"/>
        <w:rPr>
          <w:b/>
          <w:bCs/>
          <w:sz w:val="36"/>
        </w:rPr>
      </w:pPr>
    </w:p>
    <w:p>
      <w:pPr>
        <w:spacing w:line="500" w:lineRule="atLeast"/>
        <w:ind w:firstLine="120" w:firstLineChars="50"/>
        <w:jc w:val="right"/>
        <w:rPr>
          <w:b/>
          <w:bCs/>
          <w:snapToGrid w:val="0"/>
          <w:kern w:val="0"/>
          <w:sz w:val="24"/>
        </w:rPr>
      </w:pPr>
    </w:p>
    <w:p>
      <w:pPr>
        <w:spacing w:line="500" w:lineRule="atLeast"/>
        <w:jc w:val="center"/>
        <w:rPr>
          <w:b/>
          <w:bCs/>
          <w:sz w:val="36"/>
        </w:rPr>
      </w:pPr>
    </w:p>
    <w:p>
      <w:pPr>
        <w:pStyle w:val="95"/>
        <w:spacing w:line="900" w:lineRule="exact"/>
        <w:ind w:right="-153" w:rightChars="-73"/>
        <w:jc w:val="center"/>
        <w:rPr>
          <w:rFonts w:ascii="宋体" w:hAnsi="宋体"/>
          <w:b/>
          <w:bCs/>
          <w:kern w:val="0"/>
          <w:sz w:val="44"/>
          <w:szCs w:val="44"/>
        </w:rPr>
      </w:pPr>
      <w:r>
        <w:rPr>
          <w:rFonts w:hint="eastAsia" w:ascii="宋体" w:hAnsi="宋体"/>
          <w:b/>
          <w:bCs/>
          <w:kern w:val="0"/>
          <w:sz w:val="44"/>
          <w:szCs w:val="44"/>
        </w:rPr>
        <w:t>昆明云内动力股份有限公司</w:t>
      </w:r>
    </w:p>
    <w:p>
      <w:pPr>
        <w:pStyle w:val="95"/>
        <w:spacing w:line="900" w:lineRule="exact"/>
        <w:ind w:right="-153" w:rightChars="-73"/>
        <w:jc w:val="center"/>
        <w:rPr>
          <w:rFonts w:ascii="宋体" w:hAnsi="宋体"/>
          <w:b/>
          <w:bCs/>
          <w:kern w:val="0"/>
          <w:sz w:val="40"/>
          <w:szCs w:val="40"/>
        </w:rPr>
      </w:pPr>
      <w:r>
        <w:rPr>
          <w:rFonts w:hint="eastAsia" w:ascii="宋体" w:hAnsi="宋体"/>
          <w:b/>
          <w:bCs/>
          <w:kern w:val="0"/>
          <w:sz w:val="40"/>
          <w:szCs w:val="40"/>
        </w:rPr>
        <w:t>G系列节能环保轻型商用车汽油机产业化建设项目</w:t>
      </w:r>
    </w:p>
    <w:p>
      <w:pPr>
        <w:pStyle w:val="95"/>
        <w:spacing w:line="900" w:lineRule="exact"/>
        <w:ind w:right="-153" w:rightChars="-73"/>
        <w:jc w:val="center"/>
        <w:rPr>
          <w:rFonts w:ascii="宋体" w:hAnsi="宋体"/>
          <w:b/>
          <w:bCs/>
          <w:kern w:val="0"/>
          <w:sz w:val="44"/>
          <w:szCs w:val="44"/>
        </w:rPr>
      </w:pPr>
    </w:p>
    <w:p>
      <w:pPr>
        <w:spacing w:line="500" w:lineRule="atLeast"/>
        <w:jc w:val="center"/>
        <w:rPr>
          <w:bCs/>
          <w:kern w:val="0"/>
          <w:sz w:val="44"/>
          <w:szCs w:val="44"/>
        </w:rPr>
      </w:pPr>
    </w:p>
    <w:p>
      <w:pPr>
        <w:tabs>
          <w:tab w:val="left" w:pos="5670"/>
        </w:tabs>
        <w:spacing w:line="500" w:lineRule="atLeast"/>
        <w:jc w:val="center"/>
        <w:rPr>
          <w:b/>
          <w:bCs/>
          <w:sz w:val="44"/>
        </w:rPr>
      </w:pPr>
    </w:p>
    <w:p>
      <w:pPr>
        <w:spacing w:line="500" w:lineRule="atLeast"/>
        <w:jc w:val="center"/>
        <w:rPr>
          <w:rFonts w:ascii="黑体" w:eastAsia="黑体"/>
          <w:b/>
          <w:bCs/>
          <w:sz w:val="52"/>
          <w:szCs w:val="52"/>
        </w:rPr>
      </w:pPr>
      <w:r>
        <w:rPr>
          <w:rFonts w:hint="eastAsia" w:ascii="黑体" w:eastAsia="黑体"/>
          <w:b/>
          <w:bCs/>
          <w:sz w:val="52"/>
          <w:szCs w:val="52"/>
        </w:rPr>
        <w:t>安全验收评价报告</w:t>
      </w:r>
    </w:p>
    <w:p>
      <w:pPr>
        <w:spacing w:line="500" w:lineRule="atLeast"/>
        <w:jc w:val="center"/>
        <w:rPr>
          <w:b/>
          <w:sz w:val="32"/>
        </w:rPr>
      </w:pPr>
    </w:p>
    <w:p>
      <w:pPr>
        <w:spacing w:line="500" w:lineRule="atLeast"/>
        <w:jc w:val="center"/>
        <w:rPr>
          <w:sz w:val="32"/>
        </w:rPr>
      </w:pPr>
    </w:p>
    <w:p>
      <w:pPr>
        <w:spacing w:line="500" w:lineRule="atLeast"/>
        <w:jc w:val="center"/>
        <w:rPr>
          <w:sz w:val="32"/>
        </w:rPr>
      </w:pPr>
    </w:p>
    <w:p>
      <w:pPr>
        <w:spacing w:line="500" w:lineRule="atLeast"/>
        <w:jc w:val="center"/>
        <w:rPr>
          <w:sz w:val="32"/>
        </w:rPr>
      </w:pPr>
    </w:p>
    <w:p>
      <w:pPr>
        <w:spacing w:line="500" w:lineRule="atLeast"/>
        <w:rPr>
          <w:sz w:val="32"/>
        </w:rPr>
      </w:pPr>
    </w:p>
    <w:p>
      <w:pPr>
        <w:adjustRightInd w:val="0"/>
        <w:snapToGrid w:val="0"/>
        <w:spacing w:line="480" w:lineRule="auto"/>
        <w:jc w:val="center"/>
        <w:rPr>
          <w:b/>
          <w:bCs/>
          <w:snapToGrid w:val="0"/>
          <w:kern w:val="0"/>
          <w:sz w:val="44"/>
          <w:szCs w:val="44"/>
        </w:rPr>
      </w:pPr>
      <w:r>
        <w:rPr>
          <w:rFonts w:hint="eastAsia"/>
          <w:b/>
          <w:bCs/>
          <w:snapToGrid w:val="0"/>
          <w:kern w:val="0"/>
          <w:sz w:val="44"/>
          <w:szCs w:val="44"/>
        </w:rPr>
        <w:t>昭通市鼎安科技有限公司</w:t>
      </w:r>
    </w:p>
    <w:p>
      <w:pPr>
        <w:adjustRightInd w:val="0"/>
        <w:snapToGrid w:val="0"/>
        <w:spacing w:line="480" w:lineRule="auto"/>
        <w:jc w:val="center"/>
        <w:rPr>
          <w:rFonts w:ascii="宋体" w:hAnsi="宋体"/>
          <w:b/>
          <w:bCs/>
          <w:snapToGrid w:val="0"/>
          <w:kern w:val="0"/>
          <w:sz w:val="32"/>
          <w:szCs w:val="32"/>
        </w:rPr>
      </w:pPr>
      <w:r>
        <w:rPr>
          <w:rFonts w:hint="eastAsia" w:ascii="宋体" w:hAnsi="宋体"/>
          <w:b/>
          <w:bCs/>
          <w:snapToGrid w:val="0"/>
          <w:kern w:val="0"/>
          <w:sz w:val="32"/>
          <w:szCs w:val="32"/>
        </w:rPr>
        <w:t>资质证书编号：APJ-（云）-005</w:t>
      </w:r>
    </w:p>
    <w:p>
      <w:pPr>
        <w:adjustRightInd w:val="0"/>
        <w:snapToGrid w:val="0"/>
        <w:spacing w:line="480" w:lineRule="auto"/>
        <w:jc w:val="center"/>
        <w:rPr>
          <w:rFonts w:ascii="宋体" w:hAnsi="宋体"/>
          <w:b/>
          <w:bCs/>
          <w:snapToGrid w:val="0"/>
          <w:kern w:val="0"/>
          <w:sz w:val="32"/>
          <w:szCs w:val="32"/>
        </w:rPr>
      </w:pPr>
      <w:r>
        <w:rPr>
          <w:rFonts w:hint="eastAsia" w:ascii="宋体" w:hAnsi="宋体"/>
          <w:b/>
          <w:bCs/>
          <w:snapToGrid w:val="0"/>
          <w:kern w:val="0"/>
          <w:sz w:val="32"/>
          <w:szCs w:val="32"/>
        </w:rPr>
        <w:t>二</w:t>
      </w:r>
      <w:r>
        <w:rPr>
          <w:rFonts w:hint="eastAsia" w:ascii="宋体" w:hAnsi="宋体"/>
          <w:b/>
          <w:bCs/>
          <w:sz w:val="32"/>
          <w:szCs w:val="32"/>
        </w:rPr>
        <w:t>〇二</w:t>
      </w:r>
      <w:r>
        <w:rPr>
          <w:rFonts w:hint="eastAsia" w:ascii="宋体" w:hAnsi="宋体"/>
          <w:b/>
          <w:bCs/>
          <w:snapToGrid w:val="0"/>
          <w:kern w:val="0"/>
          <w:sz w:val="32"/>
          <w:szCs w:val="32"/>
          <w:lang w:val="en-US" w:eastAsia="zh-CN"/>
        </w:rPr>
        <w:t>四</w:t>
      </w:r>
      <w:r>
        <w:rPr>
          <w:rFonts w:hint="eastAsia" w:ascii="宋体" w:hAnsi="宋体"/>
          <w:b/>
          <w:bCs/>
          <w:snapToGrid w:val="0"/>
          <w:kern w:val="0"/>
          <w:sz w:val="32"/>
          <w:szCs w:val="32"/>
        </w:rPr>
        <w:t xml:space="preserve"> </w:t>
      </w:r>
      <w:r>
        <w:rPr>
          <w:rFonts w:ascii="宋体" w:hAnsi="宋体"/>
          <w:b/>
          <w:bCs/>
          <w:snapToGrid w:val="0"/>
          <w:kern w:val="0"/>
          <w:sz w:val="32"/>
          <w:szCs w:val="32"/>
        </w:rPr>
        <w:t>年</w:t>
      </w:r>
      <w:r>
        <w:rPr>
          <w:rFonts w:hint="eastAsia" w:ascii="宋体" w:hAnsi="宋体"/>
          <w:b/>
          <w:bCs/>
          <w:snapToGrid w:val="0"/>
          <w:kern w:val="0"/>
          <w:sz w:val="32"/>
          <w:szCs w:val="32"/>
        </w:rPr>
        <w:t xml:space="preserve"> </w:t>
      </w:r>
      <w:r>
        <w:rPr>
          <w:rFonts w:hint="eastAsia" w:ascii="宋体" w:hAnsi="宋体"/>
          <w:b/>
          <w:bCs/>
          <w:snapToGrid w:val="0"/>
          <w:kern w:val="0"/>
          <w:sz w:val="32"/>
          <w:szCs w:val="32"/>
          <w:lang w:val="en-US" w:eastAsia="zh-CN"/>
        </w:rPr>
        <w:t>二</w:t>
      </w:r>
      <w:r>
        <w:rPr>
          <w:rFonts w:hint="eastAsia" w:ascii="宋体" w:hAnsi="宋体"/>
          <w:b/>
          <w:bCs/>
          <w:snapToGrid w:val="0"/>
          <w:kern w:val="0"/>
          <w:sz w:val="32"/>
          <w:szCs w:val="32"/>
        </w:rPr>
        <w:t xml:space="preserve"> </w:t>
      </w:r>
      <w:r>
        <w:rPr>
          <w:rFonts w:ascii="宋体" w:hAnsi="宋体"/>
          <w:b/>
          <w:bCs/>
          <w:snapToGrid w:val="0"/>
          <w:kern w:val="0"/>
          <w:sz w:val="32"/>
          <w:szCs w:val="32"/>
        </w:rPr>
        <w:t>月</w:t>
      </w:r>
    </w:p>
    <w:p>
      <w:pPr>
        <w:spacing w:line="800" w:lineRule="exact"/>
        <w:jc w:val="center"/>
        <w:rPr>
          <w:rFonts w:ascii="宋体" w:hAnsi="宋体"/>
          <w:b/>
          <w:bCs/>
          <w:kern w:val="0"/>
          <w:sz w:val="32"/>
          <w:szCs w:val="32"/>
        </w:rPr>
        <w:sectPr>
          <w:headerReference r:id="rId3" w:type="default"/>
          <w:pgSz w:w="11906" w:h="16838"/>
          <w:pgMar w:top="1417" w:right="1134" w:bottom="1134" w:left="1587" w:header="471" w:footer="714" w:gutter="0"/>
          <w:pgNumType w:fmt="upperRoman"/>
          <w:cols w:space="0" w:num="1"/>
          <w:docGrid w:type="lines" w:linePitch="312" w:charSpace="0"/>
        </w:sectPr>
      </w:pPr>
    </w:p>
    <w:p>
      <w:pPr>
        <w:pStyle w:val="2"/>
      </w:pPr>
    </w:p>
    <w:p>
      <w:pPr>
        <w:pStyle w:val="2"/>
      </w:pPr>
    </w:p>
    <w:p>
      <w:pPr>
        <w:pStyle w:val="2"/>
      </w:pPr>
    </w:p>
    <w:p>
      <w:pPr>
        <w:spacing w:line="800" w:lineRule="exact"/>
        <w:jc w:val="center"/>
        <w:rPr>
          <w:rFonts w:ascii="宋体" w:hAnsi="宋体"/>
          <w:b/>
          <w:bCs/>
          <w:kern w:val="0"/>
          <w:sz w:val="32"/>
          <w:szCs w:val="32"/>
        </w:rPr>
      </w:pPr>
      <w:r>
        <w:rPr>
          <w:rFonts w:hint="eastAsia" w:ascii="宋体" w:hAnsi="宋体"/>
          <w:b/>
          <w:bCs/>
          <w:kern w:val="0"/>
          <w:sz w:val="32"/>
          <w:szCs w:val="32"/>
        </w:rPr>
        <w:t>昆明云内动力股份有限公司</w:t>
      </w:r>
    </w:p>
    <w:p>
      <w:pPr>
        <w:spacing w:line="800" w:lineRule="exact"/>
        <w:jc w:val="center"/>
        <w:rPr>
          <w:rFonts w:ascii="宋体" w:hAnsi="宋体"/>
          <w:b/>
          <w:bCs/>
          <w:kern w:val="0"/>
          <w:sz w:val="32"/>
          <w:szCs w:val="32"/>
        </w:rPr>
      </w:pPr>
      <w:r>
        <w:rPr>
          <w:rFonts w:hint="eastAsia" w:ascii="宋体" w:hAnsi="宋体"/>
          <w:b/>
          <w:bCs/>
          <w:kern w:val="0"/>
          <w:sz w:val="32"/>
          <w:szCs w:val="32"/>
        </w:rPr>
        <w:t>G系列节能环保轻型商用车汽油机产业化建设项目</w:t>
      </w:r>
    </w:p>
    <w:p>
      <w:pPr>
        <w:spacing w:line="800" w:lineRule="exact"/>
        <w:jc w:val="center"/>
        <w:rPr>
          <w:rFonts w:ascii="宋体" w:hAnsi="宋体"/>
          <w:b/>
          <w:bCs/>
          <w:kern w:val="0"/>
          <w:sz w:val="32"/>
          <w:szCs w:val="32"/>
        </w:rPr>
      </w:pPr>
    </w:p>
    <w:p>
      <w:pPr>
        <w:spacing w:line="500" w:lineRule="atLeast"/>
        <w:rPr>
          <w:b/>
          <w:bCs/>
          <w:sz w:val="44"/>
        </w:rPr>
      </w:pPr>
    </w:p>
    <w:p>
      <w:pPr>
        <w:spacing w:line="500" w:lineRule="atLeast"/>
        <w:jc w:val="center"/>
        <w:rPr>
          <w:b/>
          <w:bCs/>
          <w:sz w:val="44"/>
        </w:rPr>
      </w:pPr>
    </w:p>
    <w:p>
      <w:pPr>
        <w:spacing w:line="500" w:lineRule="atLeast"/>
        <w:jc w:val="center"/>
        <w:rPr>
          <w:rFonts w:ascii="宋体" w:hAnsi="宋体"/>
          <w:b/>
          <w:bCs/>
          <w:sz w:val="44"/>
          <w:szCs w:val="44"/>
        </w:rPr>
      </w:pPr>
      <w:r>
        <w:rPr>
          <w:rFonts w:hint="eastAsia" w:ascii="宋体" w:hAnsi="宋体"/>
          <w:b/>
          <w:bCs/>
          <w:sz w:val="44"/>
          <w:szCs w:val="44"/>
        </w:rPr>
        <w:t>安全验收评价报告</w:t>
      </w:r>
    </w:p>
    <w:p>
      <w:pPr>
        <w:spacing w:line="500" w:lineRule="atLeast"/>
        <w:jc w:val="center"/>
        <w:rPr>
          <w:b/>
          <w:bCs/>
        </w:rPr>
      </w:pPr>
    </w:p>
    <w:p>
      <w:pPr>
        <w:spacing w:line="500" w:lineRule="atLeast"/>
        <w:jc w:val="center"/>
        <w:rPr>
          <w:b/>
          <w:bCs/>
        </w:rPr>
      </w:pPr>
    </w:p>
    <w:p>
      <w:pPr>
        <w:spacing w:line="500" w:lineRule="atLeast"/>
        <w:jc w:val="center"/>
        <w:rPr>
          <w:b/>
          <w:bCs/>
        </w:rPr>
      </w:pPr>
    </w:p>
    <w:p>
      <w:pPr>
        <w:spacing w:line="500" w:lineRule="atLeast"/>
        <w:jc w:val="center"/>
        <w:rPr>
          <w:b/>
          <w:bCs/>
        </w:rPr>
      </w:pPr>
    </w:p>
    <w:p>
      <w:pPr>
        <w:spacing w:line="500" w:lineRule="atLeast"/>
        <w:jc w:val="center"/>
        <w:rPr>
          <w:b/>
          <w:bCs/>
        </w:rPr>
      </w:pPr>
    </w:p>
    <w:p>
      <w:pPr>
        <w:adjustRightInd w:val="0"/>
        <w:snapToGrid w:val="0"/>
        <w:spacing w:line="480" w:lineRule="auto"/>
        <w:jc w:val="center"/>
        <w:rPr>
          <w:rFonts w:hAnsi="宋体"/>
          <w:sz w:val="28"/>
          <w:szCs w:val="28"/>
        </w:rPr>
      </w:pPr>
      <w:r>
        <w:rPr>
          <w:rFonts w:hAnsi="宋体"/>
          <w:sz w:val="28"/>
          <w:szCs w:val="28"/>
        </w:rPr>
        <w:t>法人代表：</w:t>
      </w:r>
      <w:r>
        <w:rPr>
          <w:rFonts w:hint="eastAsia" w:hAnsi="宋体"/>
          <w:sz w:val="28"/>
          <w:szCs w:val="28"/>
        </w:rPr>
        <w:t>毛卫旭</w:t>
      </w:r>
    </w:p>
    <w:p>
      <w:pPr>
        <w:adjustRightInd w:val="0"/>
        <w:snapToGrid w:val="0"/>
        <w:spacing w:line="480" w:lineRule="auto"/>
        <w:jc w:val="center"/>
        <w:rPr>
          <w:rFonts w:hAnsi="宋体"/>
          <w:sz w:val="28"/>
          <w:szCs w:val="28"/>
        </w:rPr>
      </w:pPr>
      <w:r>
        <w:rPr>
          <w:rFonts w:hint="eastAsia" w:hAnsi="宋体"/>
          <w:sz w:val="28"/>
          <w:szCs w:val="28"/>
        </w:rPr>
        <w:t>技 术 负 责 人</w:t>
      </w:r>
      <w:r>
        <w:rPr>
          <w:rFonts w:hAnsi="宋体"/>
          <w:sz w:val="28"/>
          <w:szCs w:val="28"/>
        </w:rPr>
        <w:t>：</w:t>
      </w:r>
      <w:r>
        <w:rPr>
          <w:rFonts w:hint="eastAsia" w:hAnsi="宋体"/>
          <w:sz w:val="28"/>
          <w:szCs w:val="28"/>
        </w:rPr>
        <w:t>饶旭军</w:t>
      </w:r>
    </w:p>
    <w:p>
      <w:pPr>
        <w:adjustRightInd w:val="0"/>
        <w:snapToGrid w:val="0"/>
        <w:spacing w:line="480" w:lineRule="auto"/>
        <w:jc w:val="center"/>
        <w:rPr>
          <w:snapToGrid w:val="0"/>
          <w:kern w:val="0"/>
          <w:sz w:val="28"/>
          <w:szCs w:val="28"/>
        </w:rPr>
      </w:pPr>
      <w:r>
        <w:rPr>
          <w:rFonts w:hint="eastAsia" w:hAnsi="宋体"/>
          <w:sz w:val="28"/>
          <w:szCs w:val="28"/>
        </w:rPr>
        <w:t>评价项目负责人</w:t>
      </w:r>
      <w:r>
        <w:rPr>
          <w:rFonts w:hAnsi="宋体"/>
          <w:sz w:val="28"/>
          <w:szCs w:val="28"/>
        </w:rPr>
        <w:t>：</w:t>
      </w:r>
      <w:r>
        <w:rPr>
          <w:rFonts w:hint="eastAsia" w:hAnsi="宋体"/>
          <w:sz w:val="28"/>
          <w:szCs w:val="28"/>
        </w:rPr>
        <w:t>陆朝春</w:t>
      </w:r>
    </w:p>
    <w:p>
      <w:pPr>
        <w:adjustRightInd w:val="0"/>
        <w:snapToGrid w:val="0"/>
        <w:spacing w:line="480" w:lineRule="auto"/>
        <w:jc w:val="center"/>
        <w:rPr>
          <w:snapToGrid w:val="0"/>
          <w:kern w:val="0"/>
          <w:sz w:val="28"/>
          <w:szCs w:val="28"/>
        </w:rPr>
      </w:pPr>
    </w:p>
    <w:p>
      <w:pPr>
        <w:adjustRightInd w:val="0"/>
        <w:snapToGrid w:val="0"/>
        <w:spacing w:line="480" w:lineRule="auto"/>
        <w:rPr>
          <w:snapToGrid w:val="0"/>
          <w:kern w:val="0"/>
          <w:sz w:val="28"/>
          <w:szCs w:val="28"/>
        </w:rPr>
      </w:pPr>
    </w:p>
    <w:p/>
    <w:p>
      <w:pPr>
        <w:adjustRightInd w:val="0"/>
        <w:snapToGrid w:val="0"/>
        <w:spacing w:line="480" w:lineRule="auto"/>
        <w:rPr>
          <w:snapToGrid w:val="0"/>
          <w:kern w:val="0"/>
          <w:sz w:val="28"/>
          <w:szCs w:val="28"/>
        </w:rPr>
      </w:pPr>
    </w:p>
    <w:p>
      <w:pPr>
        <w:adjustRightInd w:val="0"/>
        <w:snapToGrid w:val="0"/>
        <w:spacing w:line="480" w:lineRule="auto"/>
        <w:jc w:val="center"/>
        <w:rPr>
          <w:rFonts w:hAnsi="宋体"/>
          <w:sz w:val="28"/>
          <w:szCs w:val="28"/>
        </w:rPr>
      </w:pPr>
      <w:r>
        <w:rPr>
          <w:rFonts w:hint="eastAsia" w:hAnsi="宋体"/>
          <w:sz w:val="28"/>
          <w:szCs w:val="28"/>
        </w:rPr>
        <w:t>昭通市鼎安科技有限公司</w:t>
      </w:r>
    </w:p>
    <w:p>
      <w:pPr>
        <w:adjustRightInd w:val="0"/>
        <w:snapToGrid w:val="0"/>
        <w:spacing w:line="480" w:lineRule="auto"/>
        <w:jc w:val="center"/>
        <w:rPr>
          <w:rFonts w:hAnsi="宋体"/>
          <w:sz w:val="28"/>
          <w:szCs w:val="28"/>
        </w:rPr>
      </w:pPr>
      <w:r>
        <w:rPr>
          <w:rFonts w:hint="eastAsia" w:hAnsi="宋体"/>
          <w:sz w:val="28"/>
          <w:szCs w:val="28"/>
        </w:rPr>
        <w:t>202</w:t>
      </w:r>
      <w:r>
        <w:rPr>
          <w:rFonts w:hint="eastAsia" w:hAnsi="宋体"/>
          <w:sz w:val="28"/>
          <w:szCs w:val="28"/>
          <w:lang w:val="en-US" w:eastAsia="zh-CN"/>
        </w:rPr>
        <w:t>4</w:t>
      </w:r>
      <w:r>
        <w:rPr>
          <w:rFonts w:hint="eastAsia" w:hAnsi="宋体"/>
          <w:sz w:val="28"/>
          <w:szCs w:val="28"/>
        </w:rPr>
        <w:t>年</w:t>
      </w:r>
      <w:r>
        <w:rPr>
          <w:rFonts w:hint="eastAsia" w:hAnsi="宋体"/>
          <w:sz w:val="28"/>
          <w:szCs w:val="28"/>
          <w:lang w:val="en-US" w:eastAsia="zh-CN"/>
        </w:rPr>
        <w:t>02</w:t>
      </w:r>
      <w:r>
        <w:rPr>
          <w:rFonts w:hint="eastAsia" w:hAnsi="宋体"/>
          <w:sz w:val="28"/>
          <w:szCs w:val="28"/>
        </w:rPr>
        <w:t>月</w:t>
      </w:r>
    </w:p>
    <w:p>
      <w:pPr>
        <w:adjustRightInd w:val="0"/>
        <w:snapToGrid w:val="0"/>
        <w:spacing w:line="480" w:lineRule="auto"/>
        <w:jc w:val="center"/>
        <w:rPr>
          <w:rFonts w:hAnsi="宋体"/>
          <w:sz w:val="28"/>
          <w:szCs w:val="28"/>
        </w:rPr>
      </w:pPr>
      <w:r>
        <w:rPr>
          <w:rFonts w:hint="eastAsia" w:hAnsi="宋体"/>
          <w:sz w:val="28"/>
          <w:szCs w:val="28"/>
        </w:rPr>
        <w:t>（安全评价机构公章）</w:t>
      </w:r>
    </w:p>
    <w:p>
      <w:pPr>
        <w:suppressAutoHyphens/>
        <w:adjustRightInd w:val="0"/>
        <w:snapToGrid w:val="0"/>
        <w:spacing w:line="700" w:lineRule="exact"/>
        <w:jc w:val="center"/>
        <w:rPr>
          <w:b/>
          <w:bCs/>
          <w:snapToGrid w:val="0"/>
          <w:kern w:val="0"/>
          <w:sz w:val="30"/>
          <w:szCs w:val="30"/>
        </w:rPr>
        <w:sectPr>
          <w:footerReference r:id="rId4" w:type="default"/>
          <w:pgSz w:w="11906" w:h="16838"/>
          <w:pgMar w:top="1417" w:right="1134" w:bottom="1134" w:left="1587" w:header="471" w:footer="714" w:gutter="0"/>
          <w:pgNumType w:fmt="upperRoman" w:start="1"/>
          <w:cols w:space="0" w:num="1"/>
          <w:docGrid w:type="lines" w:linePitch="312" w:charSpace="0"/>
        </w:sectPr>
      </w:pPr>
    </w:p>
    <w:p>
      <w:pPr>
        <w:pStyle w:val="3"/>
        <w:keepNext w:val="0"/>
        <w:keepLines w:val="0"/>
        <w:snapToGrid w:val="0"/>
        <w:spacing w:before="0" w:after="0" w:line="360" w:lineRule="auto"/>
        <w:rPr>
          <w:rFonts w:ascii="宋体" w:hAnsi="宋体" w:cs="宋体"/>
          <w:sz w:val="36"/>
          <w:szCs w:val="36"/>
        </w:rPr>
      </w:pPr>
      <w:bookmarkStart w:id="0" w:name="_Toc45427864"/>
      <w:bookmarkStart w:id="1" w:name="_Toc45610421"/>
      <w:bookmarkStart w:id="2" w:name="_Toc48396684"/>
      <w:bookmarkStart w:id="3" w:name="_Toc45937318"/>
      <w:bookmarkStart w:id="4" w:name="_Toc204424736"/>
      <w:bookmarkStart w:id="5" w:name="_Toc45360516"/>
      <w:bookmarkStart w:id="6" w:name="_Toc46737743"/>
      <w:bookmarkStart w:id="7" w:name="_Toc45603036"/>
      <w:bookmarkStart w:id="8" w:name="_Toc45698214"/>
      <w:bookmarkStart w:id="9" w:name="_Toc60044830"/>
      <w:bookmarkStart w:id="10" w:name="_Toc45697988"/>
      <w:bookmarkStart w:id="11" w:name="_Toc21224"/>
      <w:bookmarkStart w:id="12" w:name="_Toc55898554"/>
      <w:bookmarkStart w:id="13" w:name="_Toc45427490"/>
      <w:bookmarkStart w:id="14" w:name="_Toc59755070"/>
      <w:bookmarkStart w:id="15" w:name="_Toc45359232"/>
      <w:bookmarkStart w:id="16" w:name="_Toc45698271"/>
      <w:bookmarkStart w:id="17" w:name="_Toc60044935"/>
      <w:bookmarkStart w:id="18" w:name="_Toc45698164"/>
      <w:bookmarkStart w:id="19" w:name="_Toc46117801"/>
      <w:bookmarkStart w:id="20" w:name="_Toc13732"/>
      <w:r>
        <w:rPr>
          <w:rFonts w:hint="eastAsia" w:ascii="宋体" w:hAnsi="宋体" w:cs="宋体"/>
          <w:sz w:val="36"/>
          <w:szCs w:val="36"/>
        </w:rPr>
        <w:t>前 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为了贯彻落实“安全第一，预防为主，综合治理”的方针，提高企业的本质安全化程度和安全管理水平，减少和控制建设项目生产中的危险、有害因素，预防事故的发生，保证安全生产，保障人民生命财产的安全，根据《中华人民共和国安全生产法》第三十一条：“生产经营单位新建、改建、扩建工程项目（以下统称建设项目）的安全设施，必须与主体工程同时设计、同时施工、同时投入生产和使用”的规定以及《建设项目安全设施“三同时”监督管理办法》(2010年12月14日国家安全监管总局令第36号公布，根据2015年4月2日国家安全监管总局令第77号修正)相关要求，昭通市鼎安科技有限公司受昆明云内动力股份有限公司的委托，对该公司G系列节能环保轻型商用车汽油机产业化建设项目进行安全设施竣工验收评价。</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昆明云内动力股份有限公司位于云南省昆明市国家级昆明经济技术开发区羊甫片区内，本项目</w:t>
      </w:r>
      <w:r>
        <w:rPr>
          <w:rFonts w:hint="eastAsia" w:ascii="宋体" w:hAnsi="宋体" w:cs="宋体"/>
          <w:sz w:val="28"/>
          <w:szCs w:val="28"/>
          <w:lang w:val="en-GB"/>
        </w:rPr>
        <w:t>在</w:t>
      </w:r>
      <w:r>
        <w:rPr>
          <w:rFonts w:hint="eastAsia" w:ascii="宋体" w:hAnsi="宋体" w:cs="宋体"/>
          <w:sz w:val="28"/>
          <w:szCs w:val="28"/>
        </w:rPr>
        <w:t>云内动力工业</w:t>
      </w:r>
      <w:r>
        <w:rPr>
          <w:rFonts w:hint="eastAsia" w:ascii="宋体" w:hAnsi="宋体" w:cs="宋体"/>
          <w:sz w:val="28"/>
          <w:szCs w:val="28"/>
          <w:lang w:val="en-GB"/>
        </w:rPr>
        <w:t>园区现有土地上新建第三联合厂房，建设G系列节能环保轻型商用车汽油机产品的缸体缸盖机加工生产线、装试生产线</w:t>
      </w:r>
      <w:r>
        <w:rPr>
          <w:rFonts w:hint="eastAsia" w:ascii="宋体" w:hAnsi="宋体" w:cs="宋体"/>
          <w:sz w:val="28"/>
          <w:szCs w:val="28"/>
        </w:rPr>
        <w:t>及后装生产线</w:t>
      </w:r>
      <w:r>
        <w:rPr>
          <w:rFonts w:hint="eastAsia" w:ascii="宋体" w:hAnsi="宋体" w:cs="宋体"/>
          <w:sz w:val="28"/>
          <w:szCs w:val="28"/>
          <w:lang w:val="en-GB"/>
        </w:rPr>
        <w:t>。</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该项目于</w:t>
      </w:r>
      <w:r>
        <w:rPr>
          <w:rFonts w:hint="eastAsia" w:ascii="宋体" w:hAnsi="宋体" w:cs="宋体"/>
          <w:color w:val="000000" w:themeColor="text1"/>
          <w:sz w:val="28"/>
          <w:szCs w:val="28"/>
          <w14:textFill>
            <w14:solidFill>
              <w14:schemeClr w14:val="tx1"/>
            </w14:solidFill>
          </w14:textFill>
        </w:rPr>
        <w:t>2020年2月</w:t>
      </w:r>
      <w:r>
        <w:rPr>
          <w:rFonts w:hint="eastAsia" w:ascii="宋体" w:hAnsi="宋体" w:cs="宋体"/>
          <w:sz w:val="28"/>
          <w:szCs w:val="28"/>
        </w:rPr>
        <w:t>获得昆明经济技术开发区经济发展局颁发的《投资项目备案证》，项目代码：2020-530131-36-03-022285；于2020年6月由云</w:t>
      </w:r>
      <w:r>
        <w:rPr>
          <w:rFonts w:hint="eastAsia" w:ascii="宋体" w:hAnsi="宋体" w:cs="宋体"/>
          <w:color w:val="000000" w:themeColor="text1"/>
          <w:sz w:val="28"/>
          <w:szCs w:val="28"/>
          <w14:textFill>
            <w14:solidFill>
              <w14:schemeClr w14:val="tx1"/>
            </w14:solidFill>
          </w14:textFill>
        </w:rPr>
        <w:t>南云天咨询有限公司（资质证书编号：APJ-（国）-480）进行</w:t>
      </w:r>
      <w:r>
        <w:rPr>
          <w:rFonts w:hint="eastAsia" w:ascii="宋体" w:hAnsi="宋体" w:cs="宋体"/>
          <w:sz w:val="28"/>
          <w:szCs w:val="28"/>
        </w:rPr>
        <w:t>了安全预评价，编制完成了《昆明云内动力股份有限公司G系列节能环保轻型商用车汽油机产业化建设项目安全预评价报告》；于2021年3月由中基中联工程有限公司（资质证书编号：</w:t>
      </w:r>
      <w:r>
        <w:rPr>
          <w:rFonts w:hint="eastAsia" w:ascii="宋体" w:hAnsi="宋体" w:cs="宋体"/>
          <w:color w:val="000000" w:themeColor="text1"/>
          <w:sz w:val="28"/>
          <w:szCs w:val="28"/>
          <w14:textFill>
            <w14:solidFill>
              <w14:schemeClr w14:val="tx1"/>
            </w14:solidFill>
          </w14:textFill>
        </w:rPr>
        <w:t>A150000190</w:t>
      </w:r>
      <w:r>
        <w:rPr>
          <w:rFonts w:hint="eastAsia" w:ascii="宋体" w:hAnsi="宋体" w:cs="宋体"/>
          <w:sz w:val="28"/>
          <w:szCs w:val="28"/>
        </w:rPr>
        <w:t>）进行了安全设施设计，编制完成了《昆明云内动力股份有限公司G系列节能环保轻型商用车汽油机产业化建设项目安全设施设计》。该建设项目工程竣工验收后，建设单位组织人员进行了试生产，试生产开始日期2022年7月12日。试生产期间各项设备设施、安全设备和装置运行正常，未发生生产安全事故。</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为保证安全验收评价工作的顺利进行，昭通市鼎安科技有限公司评价小组收集该项目设计、施工、试生产等过程中的相关资料并进行了全面仔细的分析、研究，并对照设计资料和国家相关法规、标准的要求，于2022年8月22日对昆明云内动力股份有限公司G系列节能环保轻型商用车汽油机产业化建设项目现场进行了实地调查和检查，对现场检查过程中发现的问题和不足提出了相应的整改建议。评价小组通过辨识和分析该项目可能存在的各种危险、有害因素，并经定性、定量分析评价，编写了该项目的安全验收评价报告。</w:t>
      </w:r>
    </w:p>
    <w:p>
      <w:pPr>
        <w:pStyle w:val="21"/>
        <w:snapToGrid w:val="0"/>
        <w:spacing w:line="360" w:lineRule="auto"/>
        <w:ind w:firstLine="560" w:firstLineChars="200"/>
        <w:jc w:val="both"/>
        <w:rPr>
          <w:rFonts w:ascii="宋体" w:hAnsi="宋体" w:cs="宋体"/>
          <w:sz w:val="28"/>
          <w:szCs w:val="28"/>
        </w:rPr>
        <w:sectPr>
          <w:headerReference r:id="rId5" w:type="default"/>
          <w:footerReference r:id="rId6" w:type="default"/>
          <w:footerReference r:id="rId7" w:type="even"/>
          <w:pgSz w:w="11906" w:h="16838"/>
          <w:pgMar w:top="1417" w:right="1134" w:bottom="1134" w:left="1587" w:header="709" w:footer="709" w:gutter="0"/>
          <w:pgNumType w:fmt="upperRoman" w:start="1"/>
          <w:cols w:space="0" w:num="1"/>
          <w:docGrid w:type="lines" w:linePitch="312" w:charSpace="0"/>
        </w:sectPr>
      </w:pPr>
      <w:r>
        <w:rPr>
          <w:rFonts w:hint="eastAsia" w:ascii="宋体" w:hAnsi="宋体" w:cs="宋体"/>
          <w:sz w:val="28"/>
          <w:szCs w:val="28"/>
        </w:rPr>
        <w:t>在实施该项目安全验收评价以及安全验收评价报告编写过程中，得到了昆明云内动力股份有限公司各级领导大力支持和协助，谨在此表示衷心的感谢！</w:t>
      </w:r>
    </w:p>
    <w:p>
      <w:pPr>
        <w:adjustRightInd w:val="0"/>
        <w:snapToGrid w:val="0"/>
        <w:spacing w:line="300" w:lineRule="atLeast"/>
        <w:jc w:val="center"/>
        <w:outlineLvl w:val="0"/>
        <w:rPr>
          <w:rFonts w:ascii="宋体" w:hAnsi="宋体" w:cs="宋体"/>
          <w:b/>
          <w:snapToGrid w:val="0"/>
          <w:kern w:val="0"/>
          <w:sz w:val="36"/>
          <w:szCs w:val="36"/>
        </w:rPr>
      </w:pPr>
      <w:r>
        <w:rPr>
          <w:rFonts w:hint="eastAsia" w:ascii="宋体" w:hAnsi="宋体" w:cs="宋体"/>
          <w:b/>
          <w:snapToGrid w:val="0"/>
          <w:kern w:val="0"/>
          <w:sz w:val="36"/>
          <w:szCs w:val="36"/>
        </w:rPr>
        <w:t>目录</w:t>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Style w:val="61"/>
          <w:rFonts w:hint="eastAsia" w:ascii="宋体" w:hAnsi="宋体" w:eastAsia="宋体" w:cs="宋体"/>
          <w:b w:val="0"/>
          <w:bCs/>
          <w:i w:val="0"/>
          <w:iCs w:val="0"/>
          <w:color w:val="auto"/>
          <w:sz w:val="24"/>
          <w:szCs w:val="24"/>
        </w:rPr>
        <w:fldChar w:fldCharType="begin"/>
      </w:r>
      <w:r>
        <w:rPr>
          <w:rStyle w:val="61"/>
          <w:rFonts w:hint="eastAsia" w:ascii="宋体" w:hAnsi="宋体" w:eastAsia="宋体" w:cs="宋体"/>
          <w:b w:val="0"/>
          <w:bCs/>
          <w:i w:val="0"/>
          <w:iCs w:val="0"/>
          <w:caps w:val="0"/>
          <w:color w:val="auto"/>
          <w:sz w:val="24"/>
          <w:szCs w:val="24"/>
        </w:rPr>
        <w:instrText xml:space="preserve"> TOC \o "1-3" \h \z </w:instrText>
      </w:r>
      <w:r>
        <w:rPr>
          <w:rStyle w:val="61"/>
          <w:rFonts w:hint="eastAsia" w:ascii="宋体" w:hAnsi="宋体" w:eastAsia="宋体" w:cs="宋体"/>
          <w:b w:val="0"/>
          <w:bCs/>
          <w:i w:val="0"/>
          <w:iCs w:val="0"/>
          <w:color w:val="auto"/>
          <w:sz w:val="24"/>
          <w:szCs w:val="24"/>
        </w:rPr>
        <w:fldChar w:fldCharType="separate"/>
      </w:r>
      <w:r>
        <w:rPr>
          <w:rFonts w:hint="eastAsia" w:ascii="宋体" w:hAnsi="宋体" w:eastAsia="宋体" w:cs="宋体"/>
          <w:b w:val="0"/>
          <w:bCs/>
          <w:i w:val="0"/>
          <w:iCs w:val="0"/>
          <w:color w:val="auto"/>
          <w:sz w:val="24"/>
          <w:szCs w:val="24"/>
        </w:rPr>
        <w:fldChar w:fldCharType="begin"/>
      </w:r>
      <w:r>
        <w:rPr>
          <w:rFonts w:hint="eastAsia" w:ascii="宋体" w:hAnsi="宋体" w:eastAsia="宋体" w:cs="宋体"/>
          <w:b w:val="0"/>
          <w:bCs/>
          <w:i w:val="0"/>
          <w:iCs w:val="0"/>
          <w:sz w:val="24"/>
          <w:szCs w:val="24"/>
        </w:rPr>
        <w:instrText xml:space="preserve"> HYPERLINK \l _Toc21224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前 言</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_Toc21224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I</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olor w:val="auto"/>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_Toc1389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 编制说明</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_Toc1389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_Toc515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1.1评价目的</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_Toc515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_Toc17214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1.2 评价原则</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_Toc17214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_Toc16454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1.3 安全评价依据</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_Toc16454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_Toc5625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1.3.1 国家基本法律</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_Toc5625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_Toc16813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1.3.2 行政法规</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_Toc16813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_Toc16022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1.3.3 部门规章及规范性文件</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_Toc16022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_Toc29824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1.3.4 地方法规及规范性文件</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_Toc29824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_Toc1728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1.3.5国家标准规范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_Toc1728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_Toc17973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1.3.6行业标准规范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_Toc17973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_Toc11946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1.3.7依据的相关文件、资料</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_Toc11946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_Toc9340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1.4评价范围</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_Toc9340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_Toc2660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1.5 评价程序</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_Toc2660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_Toc17345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1.6评价基准日</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_Toc17345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_Toc21212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1.7评价报告使用权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_Toc21212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_Toc16036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2.1建设单位概况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_Toc16036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_Toc4087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2.2建设项目</w:t>
      </w:r>
      <w:r>
        <w:rPr>
          <w:rFonts w:hint="eastAsia" w:ascii="宋体" w:hAnsi="宋体" w:eastAsia="宋体" w:cs="宋体"/>
          <w:b w:val="0"/>
          <w:bCs/>
          <w:i w:val="0"/>
          <w:iCs w:val="0"/>
          <w:snapToGrid/>
          <w:kern w:val="2"/>
          <w:sz w:val="24"/>
          <w:szCs w:val="24"/>
          <w:lang w:val="en-US" w:eastAsia="zh-CN"/>
        </w:rPr>
        <w:t>基本</w:t>
      </w:r>
      <w:r>
        <w:rPr>
          <w:rFonts w:hint="eastAsia" w:ascii="宋体" w:hAnsi="宋体" w:eastAsia="宋体" w:cs="宋体"/>
          <w:b w:val="0"/>
          <w:bCs/>
          <w:i w:val="0"/>
          <w:iCs w:val="0"/>
          <w:snapToGrid/>
          <w:kern w:val="2"/>
          <w:sz w:val="24"/>
          <w:szCs w:val="24"/>
        </w:rPr>
        <w:t>概况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_Toc4087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_Toc32302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2.2.1项目基本情况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_Toc32302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_Toc27749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2.2.2项目建设内容</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_Toc27749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_Toc6363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2.3项目建设概况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_Toc6363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_Toc2331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2.3.1项目建设历程</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_Toc2331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_Toc1701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2.3.2项目施工情况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_Toc1701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_Toc21913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2.3.3相关验收及特种设备检验情况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_Toc21913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_Toc15029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2.4项目建设条件</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_Toc15029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_Toc23399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2.4.1地理位置</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_Toc23399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_Toc30575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2.4.2周边环境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_Toc30575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_Toc7788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2.4.3气象条件</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_Toc7788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_Toc6119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2.4.4地质条件</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_Toc6119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_Toc269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2.4.5水文条件</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_Toc269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_Toc8714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2.4.6地震</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_Toc8714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_Toc21046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2.5总平面布置和运输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_Toc21046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_Toc20220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2.5.1总平面布置</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_Toc20220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_Toc7354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2.5.2运输方式</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_Toc7354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_Toc25468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2.6主要原材料、产品</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_Toc25468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_Toc19123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2.6.1主要原辅材料的来源、贮存及使用情况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_Toc19123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_Toc16458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2.6.2产品、产量</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_Toc16458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_Toc1214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2.7生产工艺</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_Toc1214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_Toc4839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2.7.1 机加工生产线</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_Toc4839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28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_Toc13390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2.7.2 装试生产线</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_Toc13390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33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_Toc4389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2.7.3 后装生产线</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_Toc4389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35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_Toc2413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2.8主要设备、设施</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_Toc2413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37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_Toc15966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2.8.1主要生产设备设施</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_Toc15966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37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_Toc10143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2.8.2特种设备和强制检验设备</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_Toc10143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_Toc28498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2.9公用工程和辅助设施</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_Toc28498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_Toc31429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2.9.1土建</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_Toc31429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_Toc10743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2.9.2给排水</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_Toc10743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_Toc31794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2.9.3供配电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_Toc31794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_Toc10430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2.9.4消防</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_Toc10430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_Toc12625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2.9.5防雷、防静电接地</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_Toc12625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_Toc17697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2.9.6供气</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_Toc17697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_Toc14474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2.9.7通信</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_Toc14474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_Toc27504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2.9.8建筑结构</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_Toc27504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_Toc7756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2.9.9通风除尘</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_Toc7756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_Toc2616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2.9.10其它公用工程</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_Toc2616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_Toc17253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2.10主要安全设施</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_Toc17253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48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_Toc16829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2.11安全生产管理及劳动定员</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_Toc16829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_Toc9994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2.11.1 安全管理机构</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_Toc9994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_Toc31831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2.11.2 劳动定员</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_Toc31831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_Toc14914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2.11.3 安全管理制度和安全操作规程</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_Toc14914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_Toc7867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2.11.4 安全管理人员</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_Toc7867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_Toc20372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2.11.5 应急管理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_Toc20372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_Toc14190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2.11.6 人员培训</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_Toc14190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_Toc4385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2.11.7 劳动防护用品</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_Toc4385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_Toc3832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2.11.8 工伤保险</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_Toc3832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_Toc30867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lang w:val="en-US" w:eastAsia="zh-CN"/>
        </w:rPr>
        <w:t>2.11.9 有限空间开展情况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_Toc30867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_Toc18068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2.12安全投入</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_Toc18068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_Toc24458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2.13 试生产运行情况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_Toc24458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_Toc24939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2.14 项目变更情况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_Toc24939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_Toc13423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2.15现场照片</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_Toc13423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58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_Toc13470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 主要危险、有害因素辨识与分析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_Toc13470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_Toc32464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3.1辨识与分析的目的</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_Toc32464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_Toc23722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3.2辨识与分析的方法、依据</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_Toc23722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_Toc30647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3.3危险、有害因素产生的原因</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_Toc30647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_Toc2800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3.3.1运行失控与设备故障</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_Toc2800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_Toc23959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3.3.2人员失误</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_Toc23959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_Toc21598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3.3.3管理缺陷</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_Toc21598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_Toc10436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3.3.4环境影响</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_Toc10436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_Toc12947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3.4主要危险有害物质及其理化特性</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_Toc12947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_Toc11412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3.4.1主要危险、有害物质辨识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_Toc11412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_Toc13044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3.4.2危险化学品辨识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_Toc13044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_Toc21145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3.4.3易制毒品辨识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_Toc21145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_Toc27528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3.4.4易制爆化学品辨识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_Toc27528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_Toc18580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3.4.5危险物质的理化特性</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_Toc18580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65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_Toc19350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3.5生产过程中危险、有害因素辨识与分析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_Toc19350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_Toc32526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3.5.1机加工生产钱危险性分析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_Toc32526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_Toc20060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3.5.2装配生产线危险性分析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_Toc20060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_Toc1472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3.5.3后装涂装生产线危险性分析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_Toc1472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_Toc2138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3.5.4仓储危险、有害因素辨识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_Toc2138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_Toc31790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3.6公辅设施危险有害因素分析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_Toc31790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_Toc3069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3.6.1容器爆炸</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_Toc3069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_Toc16415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3.6.2中毒窒息</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_Toc16415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_Toc18617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3.7检维修作业维修有害因素分析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_Toc18617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_Toc4317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3.7.1中毒窒息</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_Toc4317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_Toc24524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3.7.2火灾、爆炸</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_Toc24524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_Toc21852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3.7.3容器爆炸</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_Toc21852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_Toc1090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3.7.4机械伤害</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_Toc1090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_Toc25790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3.7.5触电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_Toc25790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79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_Toc26611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3.8厂址及总平面布置危险、有害因素辨识与分析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_Toc26611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_Toc27594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3.8.1 厂址危险有害因素辨识与分析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_Toc27594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_Toc1423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3.8.2 总平面布置危险有害因素辨识与分析</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_Toc1423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_Toc8019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3.9有限空间辨识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_Toc8019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_Toc22521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3.10 主要危险、有害因素分布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_Toc22521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_Toc10917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lang w:val="en-US" w:eastAsia="zh-CN"/>
        </w:rPr>
        <w:t>3.11 典型事故案例</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_Toc10917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_Toc20857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lang w:val="en-US" w:eastAsia="zh-CN"/>
        </w:rPr>
        <w:t>3.11.1 机械伤害事故</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_Toc20857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_Toc614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lang w:val="en-US" w:eastAsia="zh-CN"/>
        </w:rPr>
        <w:t>3.11.2 事故经验教训</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_Toc614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_Toc14740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w:t>
      </w:r>
      <w:r>
        <w:rPr>
          <w:rFonts w:hint="eastAsia" w:ascii="宋体" w:hAnsi="宋体" w:eastAsia="宋体" w:cs="宋体"/>
          <w:b w:val="0"/>
          <w:bCs/>
          <w:i w:val="0"/>
          <w:iCs w:val="0"/>
          <w:snapToGrid/>
          <w:kern w:val="2"/>
          <w:sz w:val="24"/>
          <w:szCs w:val="24"/>
          <w:lang w:val="en-US" w:eastAsia="zh-CN"/>
        </w:rPr>
        <w:t>2</w:t>
      </w:r>
      <w:r>
        <w:rPr>
          <w:rFonts w:hint="eastAsia" w:ascii="宋体" w:hAnsi="宋体" w:eastAsia="宋体" w:cs="宋体"/>
          <w:b w:val="0"/>
          <w:bCs/>
          <w:i w:val="0"/>
          <w:iCs w:val="0"/>
          <w:snapToGrid/>
          <w:kern w:val="2"/>
          <w:sz w:val="24"/>
          <w:szCs w:val="24"/>
        </w:rPr>
        <w:t>重大危险源辨识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_Toc14740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_Toc18331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3.1</w:t>
      </w:r>
      <w:r>
        <w:rPr>
          <w:rFonts w:hint="eastAsia" w:ascii="宋体" w:hAnsi="宋体" w:eastAsia="宋体" w:cs="宋体"/>
          <w:b w:val="0"/>
          <w:bCs/>
          <w:i w:val="0"/>
          <w:iCs w:val="0"/>
          <w:sz w:val="24"/>
          <w:szCs w:val="24"/>
          <w:lang w:val="en-US" w:eastAsia="zh-CN"/>
        </w:rPr>
        <w:t>2</w:t>
      </w:r>
      <w:r>
        <w:rPr>
          <w:rFonts w:hint="eastAsia" w:ascii="宋体" w:hAnsi="宋体" w:eastAsia="宋体" w:cs="宋体"/>
          <w:b w:val="0"/>
          <w:bCs/>
          <w:i w:val="0"/>
          <w:iCs w:val="0"/>
          <w:sz w:val="24"/>
          <w:szCs w:val="24"/>
        </w:rPr>
        <w:t>.1 方法介绍</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_Toc18331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_Toc3720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3.12.2 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_Toc3720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_Toc936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3.13 重点监管危险化学品辨识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_Toc936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_Toc12222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3.14 重点监管危险化工工艺辨识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_Toc12222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_Toc3466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3.15爆炸危险区域划分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_Toc3466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_Toc173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3.16重大生产安全事故隐患辨识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_Toc173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88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_Toc10649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3.17本章小结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_Toc10649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_Toc28682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4 评价单元划分和评价方法选择</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_Toc28682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_Toc16524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4.1评价单元划分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_Toc16524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_Toc27956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4.1.1评价单元划分原则</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_Toc27956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_Toc12199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4.1.2评价单元划分方法</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_Toc12199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_Toc26169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4.1.3评价单元的划分</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_Toc26169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_Toc817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4.2评价方法的选择</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_Toc817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_Toc31476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4.2.1 评价方法选择理由</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_Toc31476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_Toc13722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4.2.2 安全评价方法简介</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_Toc13722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_Toc13832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4.2.3各单元采用的评价方法汇总</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_Toc13832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_Toc8459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 定性定量安全评价单元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_Toc8459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_Toc25289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5.1建设项目安全设施“三同时”符合性分析评价单元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_Toc25289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_Toc32303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5.1.1安全检查表</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_Toc32303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_Toc3917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5.1.2单元小结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_Toc3917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_Toc25200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5.2总平面布置分析评价单元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_Toc25200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_Toc1092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5.2.1总平面布置安全检查表</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_Toc1092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96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_Toc259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5.2.2建（构）筑物的防火安全间距</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_Toc259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101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_Toc2114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5.2.3单元小结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_Toc2114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102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_Toc19835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5.3生产工艺及设备设施分析评价单元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_Toc19835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102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_Toc12960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5.3.1生产工艺及设备设施安全检查表</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_Toc12960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102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_Toc21427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5.3.2单元小结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_Toc21427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111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_Toc29217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5.4安全设施设计符合性评价单元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_Toc29217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111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_Toc30804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5.4.1安全设施设计符合性安全检查表</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_Toc30804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111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_Toc19960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5.4.2单元小结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_Toc19960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117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_Toc11842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5.5公辅设施分析评价单元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_Toc11842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117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_Toc23537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5.5.1供配电系统评价子单元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_Toc23537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117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_Toc20657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5.5.2消防系统评价子单元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_Toc20657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121</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_Toc31928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5.5.3安全警示标志、安全色子单元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_Toc31928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123</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_Toc3771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5.5.4供气评价子单元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_Toc3771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124</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_Toc14239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5.5.5特种设备及强制检测设施子单元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_Toc14239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125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_Toc31901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5.5.6单元小结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_Toc31901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128</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_Toc6482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5.6安全生产管理分析评价单元</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_Toc6482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129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_Toc16407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5.6.1安全检查表</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_Toc16407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129</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26"/>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_Toc21840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5.6.2单元小结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_Toc21840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135</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_Toc14457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5.7 本章小结</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_Toc14457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136</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_Toc10290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6 存在的问题及整改情况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_Toc10290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137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_Toc18528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6.1存在问题及整改情况</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_Toc18528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137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_Toc10486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6.2安全对策措施建议</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_Toc10486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137</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_Toc22080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rPr>
        <w:t>7 安全验收评价结论</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_Toc22080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140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_Toc27123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7.1评价综述</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_Toc27123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140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44"/>
        <w:keepNext w:val="0"/>
        <w:keepLines w:val="0"/>
        <w:pageBreakBefore w:val="0"/>
        <w:widowControl w:val="0"/>
        <w:tabs>
          <w:tab w:val="right" w:leader="dot" w:pos="9185"/>
        </w:tabs>
        <w:kinsoku/>
        <w:wordWrap/>
        <w:overflowPunct/>
        <w:topLinePunct w:val="0"/>
        <w:autoSpaceDE/>
        <w:autoSpaceDN/>
        <w:bidi w:val="0"/>
        <w:adjustRightInd/>
        <w:snapToGrid w:val="0"/>
        <w:spacing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_Toc535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napToGrid/>
          <w:kern w:val="2"/>
          <w:sz w:val="24"/>
          <w:szCs w:val="24"/>
        </w:rPr>
        <w:t>7.2 总体评价结论</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_Toc535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140</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_Toc3617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lang w:val="en-US" w:eastAsia="zh-CN"/>
        </w:rPr>
        <w:t>8</w:t>
      </w:r>
      <w:r>
        <w:rPr>
          <w:rFonts w:hint="eastAsia" w:ascii="宋体" w:hAnsi="宋体" w:eastAsia="宋体" w:cs="宋体"/>
          <w:b w:val="0"/>
          <w:bCs/>
          <w:i w:val="0"/>
          <w:iCs w:val="0"/>
          <w:sz w:val="24"/>
          <w:szCs w:val="24"/>
        </w:rPr>
        <w:t xml:space="preserve"> </w:t>
      </w:r>
      <w:r>
        <w:rPr>
          <w:rFonts w:hint="eastAsia" w:ascii="宋体" w:hAnsi="宋体" w:eastAsia="宋体" w:cs="宋体"/>
          <w:b w:val="0"/>
          <w:bCs/>
          <w:i w:val="0"/>
          <w:iCs w:val="0"/>
          <w:sz w:val="24"/>
          <w:szCs w:val="24"/>
          <w:lang w:val="en-US" w:eastAsia="zh-CN"/>
        </w:rPr>
        <w:t>与建设单位交换的意见</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_Toc3617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142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185"/>
        </w:tabs>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val="0"/>
          <w:bCs/>
          <w:i w:val="0"/>
          <w:iCs w:val="0"/>
          <w:sz w:val="24"/>
          <w:szCs w:val="24"/>
        </w:rPr>
      </w:pPr>
      <w:r>
        <w:rPr>
          <w:rFonts w:hint="eastAsia" w:ascii="宋体" w:hAnsi="宋体" w:eastAsia="宋体" w:cs="宋体"/>
          <w:b w:val="0"/>
          <w:bCs/>
          <w:i w:val="0"/>
          <w:iCs w:val="0"/>
          <w:caps w:val="0"/>
          <w:sz w:val="24"/>
          <w:szCs w:val="24"/>
        </w:rPr>
        <w:fldChar w:fldCharType="begin"/>
      </w:r>
      <w:r>
        <w:rPr>
          <w:rFonts w:hint="eastAsia" w:ascii="宋体" w:hAnsi="宋体" w:eastAsia="宋体" w:cs="宋体"/>
          <w:b w:val="0"/>
          <w:bCs/>
          <w:i w:val="0"/>
          <w:iCs w:val="0"/>
          <w:caps w:val="0"/>
          <w:sz w:val="24"/>
          <w:szCs w:val="24"/>
        </w:rPr>
        <w:instrText xml:space="preserve"> HYPERLINK \l _Toc16911 </w:instrText>
      </w:r>
      <w:r>
        <w:rPr>
          <w:rFonts w:hint="eastAsia" w:ascii="宋体" w:hAnsi="宋体" w:eastAsia="宋体" w:cs="宋体"/>
          <w:b w:val="0"/>
          <w:bCs/>
          <w:i w:val="0"/>
          <w:iCs w:val="0"/>
          <w:caps w:val="0"/>
          <w:sz w:val="24"/>
          <w:szCs w:val="24"/>
        </w:rPr>
        <w:fldChar w:fldCharType="separate"/>
      </w:r>
      <w:r>
        <w:rPr>
          <w:rFonts w:hint="eastAsia" w:ascii="宋体" w:hAnsi="宋体" w:eastAsia="宋体" w:cs="宋体"/>
          <w:b w:val="0"/>
          <w:bCs/>
          <w:i w:val="0"/>
          <w:iCs w:val="0"/>
          <w:sz w:val="24"/>
          <w:szCs w:val="24"/>
          <w:lang w:val="en-US" w:eastAsia="zh-CN"/>
        </w:rPr>
        <w:t>9</w:t>
      </w:r>
      <w:r>
        <w:rPr>
          <w:rFonts w:hint="eastAsia" w:ascii="宋体" w:hAnsi="宋体" w:eastAsia="宋体" w:cs="宋体"/>
          <w:b w:val="0"/>
          <w:bCs/>
          <w:i w:val="0"/>
          <w:iCs w:val="0"/>
          <w:sz w:val="24"/>
          <w:szCs w:val="24"/>
        </w:rPr>
        <w:t xml:space="preserve"> 附件目录</w:t>
      </w:r>
      <w:r>
        <w:rPr>
          <w:rFonts w:hint="eastAsia" w:ascii="宋体" w:hAnsi="宋体" w:eastAsia="宋体" w:cs="宋体"/>
          <w:b w:val="0"/>
          <w:bCs/>
          <w:i w:val="0"/>
          <w:iCs w:val="0"/>
          <w:sz w:val="24"/>
          <w:szCs w:val="24"/>
        </w:rPr>
        <w:tab/>
      </w:r>
      <w:r>
        <w:rPr>
          <w:rFonts w:hint="eastAsia" w:ascii="宋体" w:hAnsi="宋体" w:eastAsia="宋体" w:cs="宋体"/>
          <w:b w:val="0"/>
          <w:bCs/>
          <w:i w:val="0"/>
          <w:iCs w:val="0"/>
          <w:sz w:val="24"/>
          <w:szCs w:val="24"/>
        </w:rPr>
        <w:fldChar w:fldCharType="begin"/>
      </w:r>
      <w:r>
        <w:rPr>
          <w:rFonts w:hint="eastAsia" w:ascii="宋体" w:hAnsi="宋体" w:eastAsia="宋体" w:cs="宋体"/>
          <w:b w:val="0"/>
          <w:bCs/>
          <w:i w:val="0"/>
          <w:iCs w:val="0"/>
          <w:sz w:val="24"/>
          <w:szCs w:val="24"/>
        </w:rPr>
        <w:instrText xml:space="preserve"> PAGEREF _Toc16911 \h </w:instrText>
      </w:r>
      <w:r>
        <w:rPr>
          <w:rFonts w:hint="eastAsia" w:ascii="宋体" w:hAnsi="宋体" w:eastAsia="宋体" w:cs="宋体"/>
          <w:b w:val="0"/>
          <w:bCs/>
          <w:i w:val="0"/>
          <w:iCs w:val="0"/>
          <w:sz w:val="24"/>
          <w:szCs w:val="24"/>
        </w:rPr>
        <w:fldChar w:fldCharType="separate"/>
      </w:r>
      <w:r>
        <w:rPr>
          <w:rFonts w:hint="eastAsia" w:ascii="宋体" w:hAnsi="宋体" w:eastAsia="宋体" w:cs="宋体"/>
          <w:b w:val="0"/>
          <w:bCs/>
          <w:i w:val="0"/>
          <w:iCs w:val="0"/>
          <w:sz w:val="24"/>
          <w:szCs w:val="24"/>
        </w:rPr>
        <w:t>142</w:t>
      </w:r>
      <w:r>
        <w:rPr>
          <w:rFonts w:hint="eastAsia" w:ascii="宋体" w:hAnsi="宋体" w:eastAsia="宋体" w:cs="宋体"/>
          <w:b w:val="0"/>
          <w:bCs/>
          <w:i w:val="0"/>
          <w:iCs w:val="0"/>
          <w:sz w:val="24"/>
          <w:szCs w:val="24"/>
        </w:rPr>
        <w:fldChar w:fldCharType="end"/>
      </w:r>
      <w:r>
        <w:rPr>
          <w:rFonts w:hint="eastAsia" w:ascii="宋体" w:hAnsi="宋体" w:eastAsia="宋体" w:cs="宋体"/>
          <w:b w:val="0"/>
          <w:bCs/>
          <w:i w:val="0"/>
          <w:iCs w:val="0"/>
          <w:caps w:val="0"/>
          <w:sz w:val="24"/>
          <w:szCs w:val="24"/>
        </w:rPr>
        <w:fldChar w:fldCharType="end"/>
      </w:r>
    </w:p>
    <w:p>
      <w:pPr>
        <w:pStyle w:val="35"/>
        <w:keepNext w:val="0"/>
        <w:keepLines w:val="0"/>
        <w:pageBreakBefore w:val="0"/>
        <w:widowControl w:val="0"/>
        <w:tabs>
          <w:tab w:val="right" w:leader="dot" w:pos="9016"/>
        </w:tabs>
        <w:kinsoku/>
        <w:wordWrap/>
        <w:overflowPunct/>
        <w:topLinePunct w:val="0"/>
        <w:autoSpaceDE/>
        <w:autoSpaceDN/>
        <w:bidi w:val="0"/>
        <w:adjustRightInd/>
        <w:snapToGrid w:val="0"/>
        <w:spacing w:before="0" w:after="0" w:line="360" w:lineRule="auto"/>
        <w:jc w:val="both"/>
        <w:textAlignment w:val="auto"/>
        <w:sectPr>
          <w:headerReference r:id="rId8" w:type="default"/>
          <w:pgSz w:w="11906" w:h="16838"/>
          <w:pgMar w:top="1417" w:right="1134" w:bottom="1134" w:left="1587" w:header="471" w:footer="714" w:gutter="0"/>
          <w:pgNumType w:fmt="upperRoman"/>
          <w:cols w:space="0" w:num="1"/>
          <w:docGrid w:type="lines" w:linePitch="312" w:charSpace="0"/>
        </w:sectPr>
      </w:pPr>
      <w:r>
        <w:rPr>
          <w:rFonts w:hint="eastAsia" w:ascii="宋体" w:hAnsi="宋体" w:eastAsia="宋体" w:cs="宋体"/>
          <w:b w:val="0"/>
          <w:bCs/>
          <w:i w:val="0"/>
          <w:iCs w:val="0"/>
          <w:caps w:val="0"/>
          <w:sz w:val="24"/>
          <w:szCs w:val="24"/>
        </w:rPr>
        <w:fldChar w:fldCharType="end"/>
      </w:r>
    </w:p>
    <w:p>
      <w:pPr>
        <w:pStyle w:val="3"/>
        <w:keepNext w:val="0"/>
        <w:keepLines w:val="0"/>
        <w:snapToGrid w:val="0"/>
        <w:spacing w:before="0" w:after="0" w:line="360" w:lineRule="auto"/>
        <w:rPr>
          <w:rFonts w:ascii="宋体" w:hAnsi="宋体" w:cs="宋体"/>
          <w:sz w:val="36"/>
          <w:szCs w:val="36"/>
        </w:rPr>
      </w:pPr>
      <w:bookmarkStart w:id="21" w:name="_Toc72124252"/>
      <w:bookmarkStart w:id="22" w:name="_Toc188696617"/>
      <w:bookmarkStart w:id="23" w:name="_Toc80677744"/>
      <w:bookmarkStart w:id="24" w:name="_Toc204424737"/>
      <w:bookmarkStart w:id="25" w:name="_Toc191893169"/>
      <w:bookmarkStart w:id="26" w:name="_Toc81709207"/>
      <w:bookmarkStart w:id="27" w:name="_Toc182295332"/>
      <w:bookmarkStart w:id="28" w:name="_Toc181687541"/>
      <w:bookmarkStart w:id="29" w:name="_Toc181684608"/>
      <w:bookmarkStart w:id="30" w:name="_Toc104020733"/>
      <w:bookmarkStart w:id="31" w:name="_Toc180983230"/>
      <w:bookmarkStart w:id="32" w:name="_Toc1389"/>
      <w:bookmarkStart w:id="33" w:name="_Toc98235755"/>
      <w:bookmarkStart w:id="34" w:name="_Toc156879840"/>
      <w:bookmarkStart w:id="35" w:name="_Toc110256408"/>
      <w:bookmarkStart w:id="36" w:name="_Toc111304605"/>
      <w:bookmarkStart w:id="37" w:name="_Toc45703666"/>
      <w:bookmarkStart w:id="38" w:name="_Toc149299954"/>
      <w:bookmarkStart w:id="39" w:name="_Toc45510907"/>
      <w:bookmarkStart w:id="40" w:name="_Toc110230208"/>
      <w:bookmarkStart w:id="41" w:name="_Toc162345358"/>
      <w:bookmarkStart w:id="42" w:name="_Toc45707348"/>
      <w:bookmarkStart w:id="43" w:name="_Toc45700506"/>
      <w:bookmarkStart w:id="44" w:name="_Toc45677406"/>
      <w:bookmarkStart w:id="45" w:name="_Toc156195649"/>
      <w:bookmarkStart w:id="46" w:name="_Toc45511273"/>
      <w:bookmarkStart w:id="47" w:name="_Toc110054623"/>
      <w:bookmarkStart w:id="48" w:name="_Toc45603039"/>
      <w:bookmarkStart w:id="49" w:name="_Toc55898557"/>
      <w:bookmarkStart w:id="50" w:name="_Toc60044938"/>
      <w:bookmarkStart w:id="51" w:name="_Toc45427493"/>
      <w:bookmarkStart w:id="52" w:name="_Toc45697991"/>
      <w:bookmarkStart w:id="53" w:name="_Toc45698274"/>
      <w:bookmarkStart w:id="54" w:name="_Toc38105545"/>
      <w:bookmarkStart w:id="55" w:name="_Toc45359235"/>
      <w:bookmarkStart w:id="56" w:name="_Toc45698167"/>
      <w:bookmarkStart w:id="57" w:name="_Toc59755073"/>
      <w:bookmarkStart w:id="58" w:name="_Toc45427867"/>
      <w:bookmarkStart w:id="59" w:name="_Toc46117804"/>
      <w:bookmarkStart w:id="60" w:name="_Toc45360519"/>
      <w:bookmarkStart w:id="61" w:name="_Toc45937321"/>
      <w:bookmarkStart w:id="62" w:name="_Toc45610424"/>
      <w:bookmarkStart w:id="63" w:name="_Toc46737746"/>
      <w:bookmarkStart w:id="64" w:name="_Toc41205328"/>
      <w:bookmarkStart w:id="65" w:name="_Toc60044833"/>
      <w:bookmarkStart w:id="66" w:name="_Toc48396687"/>
      <w:bookmarkStart w:id="67" w:name="_Toc45698217"/>
      <w:r>
        <w:rPr>
          <w:rFonts w:hint="eastAsia" w:ascii="宋体" w:hAnsi="宋体" w:cs="宋体"/>
          <w:sz w:val="36"/>
          <w:szCs w:val="36"/>
        </w:rPr>
        <w:t xml:space="preserve">1 </w:t>
      </w:r>
      <w:bookmarkEnd w:id="21"/>
      <w:bookmarkEnd w:id="22"/>
      <w:bookmarkEnd w:id="23"/>
      <w:bookmarkEnd w:id="24"/>
      <w:bookmarkEnd w:id="25"/>
      <w:bookmarkEnd w:id="26"/>
      <w:bookmarkEnd w:id="27"/>
      <w:bookmarkEnd w:id="28"/>
      <w:bookmarkEnd w:id="29"/>
      <w:bookmarkEnd w:id="30"/>
      <w:bookmarkEnd w:id="31"/>
      <w:r>
        <w:rPr>
          <w:rFonts w:hint="eastAsia" w:ascii="宋体" w:hAnsi="宋体" w:cs="宋体"/>
          <w:sz w:val="36"/>
          <w:szCs w:val="36"/>
        </w:rPr>
        <w:t>编制说明</w:t>
      </w:r>
      <w:bookmarkEnd w:id="32"/>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Pr>
        <w:pStyle w:val="4"/>
        <w:keepNext w:val="0"/>
        <w:keepLines w:val="0"/>
        <w:snapToGrid w:val="0"/>
        <w:spacing w:before="0" w:after="0" w:line="360" w:lineRule="auto"/>
        <w:jc w:val="left"/>
        <w:rPr>
          <w:rFonts w:ascii="宋体" w:hAnsi="宋体" w:cs="宋体"/>
          <w:snapToGrid/>
          <w:kern w:val="2"/>
        </w:rPr>
      </w:pPr>
      <w:bookmarkStart w:id="68" w:name="_Toc515"/>
      <w:bookmarkStart w:id="69" w:name="_Toc181684609"/>
      <w:bookmarkStart w:id="70" w:name="_Toc180983231"/>
      <w:bookmarkStart w:id="71" w:name="_Toc188696618"/>
      <w:bookmarkStart w:id="72" w:name="_Toc191893170"/>
      <w:bookmarkStart w:id="73" w:name="_Toc181687542"/>
      <w:bookmarkStart w:id="74" w:name="_Toc182295333"/>
      <w:bookmarkStart w:id="75" w:name="_Toc204424738"/>
      <w:r>
        <w:rPr>
          <w:rFonts w:hint="eastAsia" w:ascii="宋体" w:hAnsi="宋体" w:cs="宋体"/>
          <w:snapToGrid/>
          <w:kern w:val="2"/>
        </w:rPr>
        <w:t>1.1评价目的</w:t>
      </w:r>
      <w:bookmarkEnd w:id="68"/>
      <w:bookmarkEnd w:id="69"/>
      <w:bookmarkEnd w:id="70"/>
      <w:bookmarkEnd w:id="71"/>
      <w:bookmarkEnd w:id="72"/>
      <w:bookmarkEnd w:id="73"/>
      <w:bookmarkEnd w:id="74"/>
      <w:bookmarkEnd w:id="75"/>
    </w:p>
    <w:p>
      <w:pPr>
        <w:snapToGrid w:val="0"/>
        <w:spacing w:line="360" w:lineRule="auto"/>
        <w:ind w:firstLine="560" w:firstLineChars="200"/>
        <w:rPr>
          <w:sz w:val="28"/>
          <w:szCs w:val="28"/>
        </w:rPr>
      </w:pPr>
      <w:bookmarkStart w:id="76" w:name="_Toc188696619"/>
      <w:bookmarkStart w:id="77" w:name="_Toc181684614"/>
      <w:bookmarkStart w:id="78" w:name="_Toc181687547"/>
      <w:bookmarkStart w:id="79" w:name="_Toc204424739"/>
      <w:bookmarkStart w:id="80" w:name="_Toc180983232"/>
      <w:bookmarkStart w:id="81" w:name="_Toc182295334"/>
      <w:bookmarkStart w:id="82" w:name="_Toc191893171"/>
      <w:r>
        <w:rPr>
          <w:rFonts w:hint="eastAsia"/>
          <w:sz w:val="28"/>
          <w:szCs w:val="28"/>
        </w:rPr>
        <w:t>1.安全验收评价是在建设项目竣工后正式生产前，通过检查建设项目安全设施与主体工程同时设计、同时施工、同时投入生产和使用的情况，掌握安全生产管理措施到位情况、安全生产规章制度健全情况、事故应急预案建立情况，评价确定建设项目是否满足安全生产法律、法规、规章、标准、规范的要求，从整体上确定建设项目的运行状况和安全管理状况，做出安全验收评价结论。</w:t>
      </w:r>
    </w:p>
    <w:p>
      <w:pPr>
        <w:snapToGrid w:val="0"/>
        <w:spacing w:line="360" w:lineRule="auto"/>
        <w:ind w:firstLine="560" w:firstLineChars="200"/>
        <w:rPr>
          <w:sz w:val="28"/>
          <w:szCs w:val="28"/>
        </w:rPr>
      </w:pPr>
      <w:r>
        <w:rPr>
          <w:rFonts w:hint="eastAsia"/>
          <w:sz w:val="28"/>
          <w:szCs w:val="28"/>
        </w:rPr>
        <w:t>2.安全验收评价是运用系统安全工程的原理和方法，在项目建成试生产正常运行后，在正式投产前进行的一种检查性安全评价。它是对系统存在的危险和有害因素进行定性和定量检查，判断系统在安全上的符合性和配套设施的有效性，从而作出评价结论并提出补救或补偿措施，以促进项目实现系统安全。</w:t>
      </w:r>
    </w:p>
    <w:p>
      <w:pPr>
        <w:snapToGrid w:val="0"/>
        <w:spacing w:line="360" w:lineRule="auto"/>
        <w:ind w:firstLine="560" w:firstLineChars="200"/>
        <w:rPr>
          <w:sz w:val="28"/>
          <w:szCs w:val="28"/>
        </w:rPr>
      </w:pPr>
      <w:r>
        <w:rPr>
          <w:rFonts w:hint="eastAsia"/>
          <w:sz w:val="28"/>
          <w:szCs w:val="28"/>
        </w:rPr>
        <w:t>3.安全验收评价是为安全验收进行的技术准备，最终形成的安全验收评价报告将作为建设单位向政府安全生产监督管理机构申请建设项目安全验收审批的依据。</w:t>
      </w:r>
    </w:p>
    <w:p>
      <w:pPr>
        <w:pStyle w:val="4"/>
        <w:keepNext w:val="0"/>
        <w:keepLines w:val="0"/>
        <w:snapToGrid w:val="0"/>
        <w:spacing w:before="0" w:after="0" w:line="360" w:lineRule="auto"/>
        <w:jc w:val="left"/>
        <w:rPr>
          <w:rFonts w:ascii="宋体" w:hAnsi="宋体" w:cs="宋体"/>
          <w:snapToGrid/>
          <w:kern w:val="2"/>
        </w:rPr>
      </w:pPr>
      <w:bookmarkStart w:id="83" w:name="_Toc17214"/>
      <w:r>
        <w:rPr>
          <w:rFonts w:hint="eastAsia" w:ascii="宋体" w:hAnsi="宋体" w:cs="宋体"/>
          <w:snapToGrid/>
          <w:kern w:val="2"/>
        </w:rPr>
        <w:t>1.2 评价原则</w:t>
      </w:r>
      <w:bookmarkEnd w:id="76"/>
      <w:bookmarkEnd w:id="77"/>
      <w:bookmarkEnd w:id="78"/>
      <w:bookmarkEnd w:id="79"/>
      <w:bookmarkEnd w:id="80"/>
      <w:bookmarkEnd w:id="81"/>
      <w:bookmarkEnd w:id="82"/>
      <w:bookmarkEnd w:id="83"/>
    </w:p>
    <w:p>
      <w:pPr>
        <w:snapToGrid w:val="0"/>
        <w:spacing w:line="360" w:lineRule="auto"/>
        <w:ind w:firstLine="560" w:firstLineChars="200"/>
        <w:rPr>
          <w:sz w:val="28"/>
          <w:szCs w:val="28"/>
        </w:rPr>
      </w:pPr>
      <w:bookmarkStart w:id="84" w:name="_Toc180983233"/>
      <w:bookmarkStart w:id="85" w:name="_Toc181687543"/>
      <w:bookmarkStart w:id="86" w:name="_Toc188696620"/>
      <w:bookmarkStart w:id="87" w:name="_Toc80677745"/>
      <w:bookmarkStart w:id="88" w:name="_Toc81709208"/>
      <w:bookmarkStart w:id="89" w:name="_Toc104020734"/>
      <w:bookmarkStart w:id="90" w:name="_Toc182295335"/>
      <w:bookmarkStart w:id="91" w:name="_Toc181684610"/>
      <w:bookmarkStart w:id="92" w:name="_Toc204424740"/>
      <w:bookmarkStart w:id="93" w:name="_Toc191893172"/>
      <w:r>
        <w:rPr>
          <w:rFonts w:hint="eastAsia"/>
          <w:sz w:val="28"/>
          <w:szCs w:val="28"/>
        </w:rPr>
        <w:t>昭通市鼎安科技有限公司在对该项目进行安全验收评价工作中，始终坚持以下原则：</w:t>
      </w:r>
    </w:p>
    <w:p>
      <w:pPr>
        <w:snapToGrid w:val="0"/>
        <w:spacing w:line="360" w:lineRule="auto"/>
        <w:ind w:firstLine="560" w:firstLineChars="200"/>
        <w:rPr>
          <w:sz w:val="28"/>
          <w:szCs w:val="28"/>
        </w:rPr>
      </w:pPr>
      <w:r>
        <w:rPr>
          <w:rFonts w:hint="eastAsia"/>
          <w:sz w:val="28"/>
          <w:szCs w:val="28"/>
        </w:rPr>
        <w:t>1.严格执行国家现行有关法律、法规、标准和规范的要求，对该企业进行科学、客观、公正、独立的评价；</w:t>
      </w:r>
    </w:p>
    <w:p>
      <w:pPr>
        <w:snapToGrid w:val="0"/>
        <w:spacing w:line="360" w:lineRule="auto"/>
        <w:ind w:firstLine="560" w:firstLineChars="200"/>
        <w:rPr>
          <w:sz w:val="28"/>
          <w:szCs w:val="28"/>
        </w:rPr>
      </w:pPr>
      <w:r>
        <w:rPr>
          <w:rFonts w:hint="eastAsia"/>
          <w:sz w:val="28"/>
          <w:szCs w:val="28"/>
        </w:rPr>
        <w:t>2.采用可靠、适用的评价技术和评价方法对项目进行定性、定量评价，遵循针对性、技术可行性、经济合理性、可操作性的原则，提出消除或减弱危险、有害因素的技术和管理对策措施建议；</w:t>
      </w:r>
    </w:p>
    <w:p>
      <w:pPr>
        <w:snapToGrid w:val="0"/>
        <w:spacing w:line="360" w:lineRule="auto"/>
        <w:ind w:firstLine="560" w:firstLineChars="200"/>
        <w:rPr>
          <w:sz w:val="28"/>
          <w:szCs w:val="28"/>
        </w:rPr>
      </w:pPr>
      <w:r>
        <w:rPr>
          <w:rFonts w:hint="eastAsia"/>
          <w:sz w:val="28"/>
          <w:szCs w:val="28"/>
        </w:rPr>
        <w:t>3.真实、准确地做出评价结论，并对在当时条件下做出的安全评价结果承担法律责任；</w:t>
      </w:r>
    </w:p>
    <w:p>
      <w:pPr>
        <w:snapToGrid w:val="0"/>
        <w:spacing w:line="360" w:lineRule="auto"/>
        <w:ind w:firstLine="560" w:firstLineChars="200"/>
        <w:rPr>
          <w:sz w:val="28"/>
          <w:szCs w:val="28"/>
        </w:rPr>
      </w:pPr>
      <w:r>
        <w:rPr>
          <w:rFonts w:hint="eastAsia"/>
          <w:sz w:val="28"/>
          <w:szCs w:val="28"/>
        </w:rPr>
        <w:t>4.遵纪守法、恪守职业道德、诚实守信，对被评价单位的技术和商业秘密保密。</w:t>
      </w:r>
    </w:p>
    <w:p>
      <w:pPr>
        <w:pStyle w:val="4"/>
        <w:keepNext w:val="0"/>
        <w:keepLines w:val="0"/>
        <w:snapToGrid w:val="0"/>
        <w:spacing w:before="0" w:after="0" w:line="360" w:lineRule="auto"/>
        <w:jc w:val="left"/>
        <w:rPr>
          <w:rFonts w:ascii="宋体" w:hAnsi="宋体" w:cs="宋体"/>
          <w:snapToGrid/>
          <w:kern w:val="2"/>
        </w:rPr>
      </w:pPr>
      <w:bookmarkStart w:id="94" w:name="_Toc16454"/>
      <w:r>
        <w:rPr>
          <w:rFonts w:hint="eastAsia" w:ascii="宋体" w:hAnsi="宋体" w:cs="宋体"/>
          <w:snapToGrid/>
          <w:kern w:val="2"/>
        </w:rPr>
        <w:t>1.3 安全评价依据</w:t>
      </w:r>
      <w:bookmarkEnd w:id="84"/>
      <w:bookmarkEnd w:id="85"/>
      <w:bookmarkEnd w:id="86"/>
      <w:bookmarkEnd w:id="87"/>
      <w:bookmarkEnd w:id="88"/>
      <w:bookmarkEnd w:id="89"/>
      <w:bookmarkEnd w:id="90"/>
      <w:bookmarkEnd w:id="91"/>
      <w:bookmarkEnd w:id="92"/>
      <w:bookmarkEnd w:id="93"/>
      <w:bookmarkEnd w:id="94"/>
    </w:p>
    <w:p>
      <w:pPr>
        <w:pStyle w:val="5"/>
        <w:keepNext w:val="0"/>
        <w:keepLines w:val="0"/>
        <w:snapToGrid w:val="0"/>
        <w:spacing w:before="0" w:after="0" w:line="360" w:lineRule="auto"/>
        <w:rPr>
          <w:rFonts w:ascii="宋体" w:hAnsi="宋体" w:cs="宋体"/>
          <w:sz w:val="28"/>
          <w:szCs w:val="28"/>
        </w:rPr>
      </w:pPr>
      <w:bookmarkStart w:id="95" w:name="_Toc250558655"/>
      <w:bookmarkStart w:id="96" w:name="_Toc261816738"/>
      <w:bookmarkStart w:id="97" w:name="_Toc67608762"/>
      <w:bookmarkStart w:id="98" w:name="_Toc5625"/>
      <w:bookmarkStart w:id="99" w:name="_Toc191893175"/>
      <w:bookmarkStart w:id="100" w:name="_Toc188696623"/>
      <w:bookmarkStart w:id="101" w:name="_Toc204424743"/>
      <w:r>
        <w:rPr>
          <w:rFonts w:hint="eastAsia" w:ascii="宋体" w:hAnsi="宋体" w:cs="宋体"/>
          <w:sz w:val="28"/>
          <w:szCs w:val="28"/>
        </w:rPr>
        <w:t>1.3.1</w:t>
      </w:r>
      <w:bookmarkEnd w:id="95"/>
      <w:bookmarkEnd w:id="96"/>
      <w:r>
        <w:rPr>
          <w:rFonts w:hint="eastAsia" w:ascii="宋体" w:hAnsi="宋体" w:cs="宋体"/>
          <w:sz w:val="28"/>
          <w:szCs w:val="28"/>
        </w:rPr>
        <w:t xml:space="preserve"> 国家基本法律</w:t>
      </w:r>
      <w:bookmarkEnd w:id="97"/>
      <w:bookmarkEnd w:id="98"/>
    </w:p>
    <w:p>
      <w:pPr>
        <w:adjustRightInd w:val="0"/>
        <w:snapToGrid w:val="0"/>
        <w:spacing w:line="360" w:lineRule="auto"/>
        <w:ind w:firstLine="560" w:firstLineChars="200"/>
        <w:rPr>
          <w:sz w:val="28"/>
          <w:szCs w:val="28"/>
        </w:rPr>
      </w:pPr>
      <w:bookmarkStart w:id="102" w:name="_Toc67608763"/>
      <w:r>
        <w:rPr>
          <w:rFonts w:hint="eastAsia"/>
          <w:sz w:val="28"/>
          <w:szCs w:val="28"/>
        </w:rPr>
        <w:t>1.《中华人民共和国安全生产法》</w:t>
      </w:r>
      <w:r>
        <w:rPr>
          <w:sz w:val="28"/>
          <w:szCs w:val="28"/>
        </w:rPr>
        <w:t>《中华人民共和国安全生产法（2014年修订）》（中华人民共和国主席令第13号修订后公布，2014年12月1日施行，2021</w:t>
      </w:r>
      <w:r>
        <w:rPr>
          <w:sz w:val="28"/>
          <w:szCs w:val="28"/>
          <w:lang w:val="zh-CN"/>
        </w:rPr>
        <w:t>年6月10日中华人民共和国第十三届全国人民代表大会常务委员会第二十九次会议于通过《全国人民代表大会常务委员会关于修改〈中华人民共和国安全生产法〉的决定》，自2021年9月1日起施行</w:t>
      </w:r>
      <w:r>
        <w:rPr>
          <w:rFonts w:hint="eastAsia"/>
          <w:sz w:val="28"/>
          <w:szCs w:val="28"/>
          <w:lang w:val="zh-CN"/>
        </w:rPr>
        <w:t>）；</w:t>
      </w:r>
    </w:p>
    <w:p>
      <w:pPr>
        <w:pStyle w:val="95"/>
        <w:suppressAutoHyphens/>
        <w:adjustRightInd w:val="0"/>
        <w:snapToGrid w:val="0"/>
        <w:spacing w:line="360" w:lineRule="auto"/>
        <w:ind w:firstLine="560" w:firstLineChars="200"/>
        <w:rPr>
          <w:sz w:val="28"/>
          <w:szCs w:val="28"/>
        </w:rPr>
      </w:pPr>
      <w:r>
        <w:rPr>
          <w:rFonts w:hint="eastAsia"/>
          <w:sz w:val="28"/>
          <w:szCs w:val="28"/>
        </w:rPr>
        <w:t>2.《中华人民共和国劳动法》（中华人民共和国主席令第28号，</w:t>
      </w:r>
      <w:r>
        <w:rPr>
          <w:sz w:val="28"/>
          <w:szCs w:val="28"/>
        </w:rPr>
        <w:t>根据2018年12月29日第十三届全国人民代表大会常务委员会第七次会议《关于修改〈中华人民共和国劳动法〉等七部法律的决定》第二次修正</w:t>
      </w:r>
      <w:r>
        <w:rPr>
          <w:rFonts w:hint="eastAsia"/>
          <w:sz w:val="28"/>
          <w:szCs w:val="28"/>
        </w:rPr>
        <w:t>）；</w:t>
      </w:r>
    </w:p>
    <w:p>
      <w:pPr>
        <w:pStyle w:val="95"/>
        <w:suppressAutoHyphens/>
        <w:adjustRightInd w:val="0"/>
        <w:snapToGrid w:val="0"/>
        <w:spacing w:line="360" w:lineRule="auto"/>
        <w:ind w:firstLine="560" w:firstLineChars="200"/>
        <w:rPr>
          <w:sz w:val="28"/>
          <w:szCs w:val="28"/>
        </w:rPr>
      </w:pPr>
      <w:r>
        <w:rPr>
          <w:rFonts w:hint="eastAsia"/>
          <w:sz w:val="28"/>
          <w:szCs w:val="28"/>
        </w:rPr>
        <w:t>3.《中华人民共和国职业病防治法》（中华人民共和国主席令第24号，</w:t>
      </w:r>
      <w:r>
        <w:rPr>
          <w:sz w:val="28"/>
          <w:szCs w:val="28"/>
        </w:rPr>
        <w:t>根据2018年12月29日第十三届全国人民代表大会常务委员会第七次会议《关于修改〈中华人民共和国劳动法〉等七部法律的决定》第四次修正</w:t>
      </w:r>
      <w:r>
        <w:rPr>
          <w:rFonts w:hint="eastAsia"/>
          <w:sz w:val="28"/>
          <w:szCs w:val="28"/>
        </w:rPr>
        <w:t>）；</w:t>
      </w:r>
    </w:p>
    <w:p>
      <w:pPr>
        <w:pStyle w:val="95"/>
        <w:suppressAutoHyphens/>
        <w:adjustRightInd w:val="0"/>
        <w:snapToGrid w:val="0"/>
        <w:spacing w:line="360" w:lineRule="auto"/>
        <w:ind w:firstLine="560" w:firstLineChars="200"/>
        <w:rPr>
          <w:sz w:val="28"/>
          <w:szCs w:val="28"/>
        </w:rPr>
      </w:pPr>
      <w:r>
        <w:rPr>
          <w:rFonts w:hint="eastAsia"/>
          <w:sz w:val="28"/>
          <w:szCs w:val="28"/>
        </w:rPr>
        <w:t>4.《</w:t>
      </w:r>
      <w:r>
        <w:rPr>
          <w:sz w:val="28"/>
          <w:szCs w:val="28"/>
        </w:rPr>
        <w:t>中华人民共和国突发事件应对法</w:t>
      </w:r>
      <w:r>
        <w:rPr>
          <w:rFonts w:hint="eastAsia"/>
          <w:sz w:val="28"/>
          <w:szCs w:val="28"/>
        </w:rPr>
        <w:t>》（</w:t>
      </w:r>
      <w:r>
        <w:rPr>
          <w:sz w:val="28"/>
          <w:szCs w:val="28"/>
        </w:rPr>
        <w:t>中华人民共和国主席令第</w:t>
      </w:r>
      <w:r>
        <w:rPr>
          <w:rFonts w:hint="eastAsia"/>
          <w:sz w:val="28"/>
          <w:szCs w:val="28"/>
        </w:rPr>
        <w:t>69</w:t>
      </w:r>
      <w:r>
        <w:rPr>
          <w:sz w:val="28"/>
          <w:szCs w:val="28"/>
        </w:rPr>
        <w:t>号</w:t>
      </w:r>
      <w:r>
        <w:rPr>
          <w:rFonts w:hint="eastAsia"/>
          <w:sz w:val="28"/>
          <w:szCs w:val="28"/>
        </w:rPr>
        <w:t>，</w:t>
      </w:r>
      <w:r>
        <w:fldChar w:fldCharType="begin"/>
      </w:r>
      <w:r>
        <w:instrText xml:space="preserve"> HYPERLINK "https://baike.baidu.com/item/%E4%B8%AD%E5%8D%8E%E4%BA%BA%E6%B0%91%E5%85%B1%E5%92%8C%E5%9B%BD%E7%AC%AC%E5%8D%81%E5%B1%8A%E5%85%A8%E5%9B%BD%E4%BA%BA%E6%B0%91%E4%BB%A3%E8%A1%A8%E5%A4%A7%E4%BC%9A" \t "_blank" </w:instrText>
      </w:r>
      <w:r>
        <w:fldChar w:fldCharType="separate"/>
      </w:r>
      <w:r>
        <w:rPr>
          <w:sz w:val="28"/>
          <w:szCs w:val="28"/>
        </w:rPr>
        <w:t>中华人民共和国第十届全国人民代表大会</w:t>
      </w:r>
      <w:r>
        <w:rPr>
          <w:sz w:val="28"/>
          <w:szCs w:val="28"/>
        </w:rPr>
        <w:fldChar w:fldCharType="end"/>
      </w:r>
      <w:r>
        <w:rPr>
          <w:sz w:val="28"/>
          <w:szCs w:val="28"/>
        </w:rPr>
        <w:t>常务委员会第二十九次会议于2007年8月30日通过</w:t>
      </w:r>
      <w:r>
        <w:rPr>
          <w:rFonts w:hint="eastAsia"/>
          <w:sz w:val="28"/>
          <w:szCs w:val="28"/>
        </w:rPr>
        <w:t>）；</w:t>
      </w:r>
    </w:p>
    <w:p>
      <w:pPr>
        <w:pStyle w:val="95"/>
        <w:suppressAutoHyphens/>
        <w:adjustRightInd w:val="0"/>
        <w:snapToGrid w:val="0"/>
        <w:spacing w:line="360" w:lineRule="auto"/>
        <w:ind w:firstLine="560" w:firstLineChars="200"/>
        <w:rPr>
          <w:sz w:val="28"/>
          <w:szCs w:val="28"/>
        </w:rPr>
      </w:pPr>
      <w:r>
        <w:rPr>
          <w:rFonts w:hint="eastAsia"/>
          <w:sz w:val="28"/>
          <w:szCs w:val="28"/>
        </w:rPr>
        <w:t>5.《中华人民共和国环境保护法》（中华人民共和国主席令第9号，1989年12月26日第七届全国人民代表大会常务委员会第十一次会议通过，2014年4月24日第十二届全国人民代表大会常务委员会第八次会议修订）；</w:t>
      </w:r>
    </w:p>
    <w:p>
      <w:pPr>
        <w:pStyle w:val="95"/>
        <w:suppressAutoHyphens/>
        <w:adjustRightInd w:val="0"/>
        <w:snapToGrid w:val="0"/>
        <w:spacing w:line="360" w:lineRule="auto"/>
        <w:ind w:firstLine="560" w:firstLineChars="200"/>
        <w:rPr>
          <w:sz w:val="28"/>
          <w:szCs w:val="28"/>
        </w:rPr>
      </w:pPr>
      <w:r>
        <w:rPr>
          <w:rFonts w:hint="eastAsia"/>
          <w:sz w:val="28"/>
          <w:szCs w:val="28"/>
        </w:rPr>
        <w:t>6.《中华人民共和国消防法》</w:t>
      </w:r>
      <w:r>
        <w:rPr>
          <w:rFonts w:hint="eastAsia"/>
          <w:sz w:val="28"/>
          <w:szCs w:val="28"/>
          <w:lang w:val="zh-CN"/>
        </w:rPr>
        <w:t>（中华人民共和国主席令第29号，根据2019年4月23日第十三届全国人</w:t>
      </w:r>
      <w:r>
        <w:rPr>
          <w:rFonts w:hint="eastAsia"/>
          <w:sz w:val="28"/>
          <w:szCs w:val="28"/>
        </w:rPr>
        <w:t>民代表大会常务委员会第十次会议《关于修改〈中华人民共和国建筑法〉等八部法律的决定》修正，根据2021年4月29日第十三届全国人民代表大会常务委员会第二十八次会议修改《中华人民共和国道路交通安全法》等八部法律</w:t>
      </w:r>
      <w:r>
        <w:rPr>
          <w:rFonts w:hint="eastAsia"/>
          <w:sz w:val="28"/>
          <w:szCs w:val="28"/>
          <w:lang w:val="zh-CN"/>
        </w:rPr>
        <w:t>）；</w:t>
      </w:r>
    </w:p>
    <w:p>
      <w:pPr>
        <w:tabs>
          <w:tab w:val="left" w:pos="0"/>
        </w:tabs>
        <w:snapToGrid w:val="0"/>
        <w:spacing w:line="360" w:lineRule="auto"/>
        <w:ind w:firstLine="560" w:firstLineChars="200"/>
        <w:rPr>
          <w:sz w:val="28"/>
          <w:szCs w:val="28"/>
        </w:rPr>
      </w:pPr>
      <w:r>
        <w:rPr>
          <w:rFonts w:hint="eastAsia"/>
          <w:sz w:val="28"/>
          <w:szCs w:val="28"/>
        </w:rPr>
        <w:t>7.</w:t>
      </w:r>
      <w:r>
        <w:rPr>
          <w:sz w:val="28"/>
          <w:szCs w:val="28"/>
        </w:rPr>
        <w:t>《中华人民共和国特种设备安全法》</w:t>
      </w:r>
      <w:r>
        <w:rPr>
          <w:rFonts w:hint="eastAsia"/>
          <w:sz w:val="28"/>
          <w:szCs w:val="28"/>
        </w:rPr>
        <w:t>（中华人民共和国主席令第4号，</w:t>
      </w:r>
      <w:r>
        <w:rPr>
          <w:sz w:val="28"/>
          <w:szCs w:val="28"/>
        </w:rPr>
        <w:t>中华人民共和国第十二届全国人民代表大会常务委员会第三次会议于2013年6月29日通过，自2014年1月1日起施行</w:t>
      </w:r>
      <w:r>
        <w:rPr>
          <w:rFonts w:hint="eastAsia"/>
          <w:sz w:val="28"/>
          <w:szCs w:val="28"/>
        </w:rPr>
        <w:t>）。</w:t>
      </w:r>
    </w:p>
    <w:p>
      <w:pPr>
        <w:pStyle w:val="5"/>
        <w:keepNext w:val="0"/>
        <w:keepLines w:val="0"/>
        <w:snapToGrid w:val="0"/>
        <w:spacing w:before="0" w:after="0" w:line="360" w:lineRule="auto"/>
        <w:rPr>
          <w:rFonts w:ascii="宋体" w:hAnsi="宋体" w:cs="宋体"/>
          <w:sz w:val="28"/>
          <w:szCs w:val="28"/>
        </w:rPr>
      </w:pPr>
      <w:bookmarkStart w:id="103" w:name="_Toc16813"/>
      <w:r>
        <w:rPr>
          <w:rFonts w:hint="eastAsia" w:ascii="宋体" w:hAnsi="宋体" w:cs="宋体"/>
          <w:sz w:val="28"/>
          <w:szCs w:val="28"/>
        </w:rPr>
        <w:t>1.3.2 行政法规</w:t>
      </w:r>
      <w:bookmarkEnd w:id="102"/>
      <w:bookmarkEnd w:id="103"/>
    </w:p>
    <w:p>
      <w:pPr>
        <w:tabs>
          <w:tab w:val="left" w:pos="0"/>
        </w:tabs>
        <w:snapToGrid w:val="0"/>
        <w:spacing w:line="360" w:lineRule="auto"/>
        <w:ind w:firstLine="560" w:firstLineChars="200"/>
        <w:rPr>
          <w:sz w:val="28"/>
          <w:szCs w:val="28"/>
        </w:rPr>
      </w:pPr>
      <w:r>
        <w:rPr>
          <w:rFonts w:hint="eastAsia"/>
          <w:sz w:val="28"/>
          <w:szCs w:val="28"/>
        </w:rPr>
        <w:t>1.《建设工程安全生产管理条例》（中华人民共和国国务院令第393号，2003年11月24日发布，自2004年2月1日起施行）。</w:t>
      </w:r>
    </w:p>
    <w:p>
      <w:pPr>
        <w:tabs>
          <w:tab w:val="left" w:pos="0"/>
        </w:tabs>
        <w:snapToGrid w:val="0"/>
        <w:spacing w:line="360" w:lineRule="auto"/>
        <w:ind w:firstLine="560" w:firstLineChars="200"/>
        <w:rPr>
          <w:sz w:val="28"/>
          <w:szCs w:val="28"/>
        </w:rPr>
      </w:pPr>
      <w:r>
        <w:rPr>
          <w:rFonts w:hint="eastAsia"/>
          <w:sz w:val="28"/>
          <w:szCs w:val="28"/>
        </w:rPr>
        <w:t>2.《特种设备安全监察条例》（中华人民共和国国务院令第549号，2009年1月24日公布，自2009年5月1日起施行）。</w:t>
      </w:r>
    </w:p>
    <w:p>
      <w:pPr>
        <w:tabs>
          <w:tab w:val="left" w:pos="0"/>
        </w:tabs>
        <w:snapToGrid w:val="0"/>
        <w:spacing w:line="360" w:lineRule="auto"/>
        <w:ind w:firstLine="560" w:firstLineChars="200"/>
        <w:rPr>
          <w:sz w:val="28"/>
          <w:szCs w:val="28"/>
        </w:rPr>
      </w:pPr>
      <w:r>
        <w:rPr>
          <w:rFonts w:hint="eastAsia"/>
          <w:sz w:val="28"/>
          <w:szCs w:val="28"/>
        </w:rPr>
        <w:t>3.《危险化学品安全管理条例》（2002年1月9日国务院令第344号发布，根据2011年2月16日国务院令第591号修订第一次修订，根据2013年12月4日国务院令第645号第二次修正）。</w:t>
      </w:r>
    </w:p>
    <w:p>
      <w:pPr>
        <w:tabs>
          <w:tab w:val="left" w:pos="0"/>
        </w:tabs>
        <w:snapToGrid w:val="0"/>
        <w:spacing w:line="360" w:lineRule="auto"/>
        <w:ind w:firstLine="560" w:firstLineChars="200"/>
        <w:rPr>
          <w:sz w:val="28"/>
          <w:szCs w:val="28"/>
        </w:rPr>
      </w:pPr>
      <w:r>
        <w:rPr>
          <w:rFonts w:hint="eastAsia"/>
          <w:sz w:val="28"/>
          <w:szCs w:val="28"/>
        </w:rPr>
        <w:t>4.《工伤保险条例》（2003年4月27日中华人民共和国国务院令第375号公布，根据2010年12月20日《国务院关于修改〈工伤保险条例〉的决定》（中华人民共和国国务院令第586号）修订）。</w:t>
      </w:r>
    </w:p>
    <w:p>
      <w:pPr>
        <w:tabs>
          <w:tab w:val="left" w:pos="0"/>
        </w:tabs>
        <w:snapToGrid w:val="0"/>
        <w:spacing w:line="360" w:lineRule="auto"/>
        <w:ind w:firstLine="560" w:firstLineChars="200"/>
        <w:rPr>
          <w:sz w:val="28"/>
          <w:szCs w:val="28"/>
        </w:rPr>
      </w:pPr>
      <w:r>
        <w:rPr>
          <w:rFonts w:hint="eastAsia"/>
          <w:sz w:val="28"/>
          <w:szCs w:val="28"/>
        </w:rPr>
        <w:t>5.《生产安全事故报告和调查处理条例》（中华人民共和国国务院令第493号，</w:t>
      </w:r>
      <w:r>
        <w:rPr>
          <w:sz w:val="28"/>
          <w:szCs w:val="28"/>
        </w:rPr>
        <w:t>2007年4月9日</w:t>
      </w:r>
      <w:r>
        <w:rPr>
          <w:rFonts w:hint="eastAsia"/>
          <w:sz w:val="28"/>
          <w:szCs w:val="28"/>
        </w:rPr>
        <w:t>公布，自</w:t>
      </w:r>
      <w:r>
        <w:rPr>
          <w:sz w:val="28"/>
          <w:szCs w:val="28"/>
        </w:rPr>
        <w:t>2007年6月1日</w:t>
      </w:r>
      <w:r>
        <w:rPr>
          <w:rFonts w:hint="eastAsia"/>
          <w:sz w:val="28"/>
          <w:szCs w:val="28"/>
        </w:rPr>
        <w:t>起施行）。</w:t>
      </w:r>
    </w:p>
    <w:p>
      <w:pPr>
        <w:tabs>
          <w:tab w:val="left" w:pos="0"/>
        </w:tabs>
        <w:snapToGrid w:val="0"/>
        <w:spacing w:line="360" w:lineRule="auto"/>
        <w:ind w:firstLine="560" w:firstLineChars="200"/>
        <w:rPr>
          <w:sz w:val="28"/>
          <w:szCs w:val="28"/>
        </w:rPr>
      </w:pPr>
      <w:r>
        <w:rPr>
          <w:rFonts w:hint="eastAsia"/>
          <w:sz w:val="28"/>
          <w:szCs w:val="28"/>
        </w:rPr>
        <w:t>6.《生产安全事故应急条例》（中华人民共和国国务院令第708号，自2019年4月1日起施行）。</w:t>
      </w:r>
    </w:p>
    <w:p>
      <w:pPr>
        <w:tabs>
          <w:tab w:val="left" w:pos="0"/>
        </w:tabs>
        <w:snapToGrid w:val="0"/>
        <w:spacing w:line="360" w:lineRule="auto"/>
        <w:ind w:firstLine="560" w:firstLineChars="200"/>
        <w:rPr>
          <w:rFonts w:hint="eastAsia"/>
          <w:sz w:val="28"/>
          <w:szCs w:val="28"/>
        </w:rPr>
      </w:pPr>
      <w:r>
        <w:rPr>
          <w:rFonts w:hint="eastAsia"/>
          <w:sz w:val="28"/>
          <w:szCs w:val="28"/>
        </w:rPr>
        <w:t>7.《危险化学品中间仓库安全管理规范》（</w:t>
      </w:r>
      <w:r>
        <w:rPr>
          <w:rFonts w:hint="eastAsia"/>
          <w:sz w:val="28"/>
          <w:szCs w:val="28"/>
          <w:lang w:val="en-US" w:eastAsia="zh-CN"/>
        </w:rPr>
        <w:t>D</w:t>
      </w:r>
      <w:r>
        <w:rPr>
          <w:rFonts w:hint="eastAsia"/>
          <w:sz w:val="28"/>
          <w:szCs w:val="28"/>
        </w:rPr>
        <w:t>B4403/T</w:t>
      </w:r>
      <w:r>
        <w:rPr>
          <w:rFonts w:hint="eastAsia"/>
          <w:sz w:val="28"/>
          <w:szCs w:val="28"/>
          <w:lang w:val="en-US" w:eastAsia="zh-CN"/>
        </w:rPr>
        <w:t>80</w:t>
      </w:r>
      <w:r>
        <w:rPr>
          <w:rFonts w:hint="eastAsia"/>
          <w:sz w:val="28"/>
          <w:szCs w:val="28"/>
        </w:rPr>
        <w:t>-2020）。</w:t>
      </w:r>
    </w:p>
    <w:p>
      <w:pPr>
        <w:tabs>
          <w:tab w:val="left" w:pos="0"/>
        </w:tabs>
        <w:snapToGrid w:val="0"/>
        <w:spacing w:line="360" w:lineRule="auto"/>
        <w:ind w:firstLine="560" w:firstLineChars="200"/>
        <w:rPr>
          <w:rFonts w:hint="eastAsia"/>
          <w:color w:val="auto"/>
          <w:sz w:val="28"/>
          <w:szCs w:val="28"/>
        </w:rPr>
      </w:pPr>
      <w:r>
        <w:rPr>
          <w:rFonts w:hint="eastAsia"/>
          <w:color w:val="auto"/>
          <w:sz w:val="28"/>
          <w:szCs w:val="28"/>
          <w:lang w:val="en-US" w:eastAsia="zh-CN"/>
        </w:rPr>
        <w:t>8.</w:t>
      </w:r>
      <w:r>
        <w:rPr>
          <w:rFonts w:hint="eastAsia"/>
          <w:color w:val="auto"/>
          <w:sz w:val="28"/>
          <w:szCs w:val="28"/>
          <w:lang w:eastAsia="zh-CN"/>
        </w:rPr>
        <w:t>《</w:t>
      </w:r>
      <w:r>
        <w:rPr>
          <w:rFonts w:hint="eastAsia"/>
          <w:color w:val="auto"/>
          <w:sz w:val="28"/>
          <w:szCs w:val="28"/>
        </w:rPr>
        <w:t>仓库防火安全管理规则</w:t>
      </w:r>
      <w:r>
        <w:rPr>
          <w:rFonts w:hint="eastAsia"/>
          <w:color w:val="auto"/>
          <w:sz w:val="28"/>
          <w:szCs w:val="28"/>
          <w:lang w:eastAsia="zh-CN"/>
        </w:rPr>
        <w:t>》</w:t>
      </w:r>
      <w:r>
        <w:rPr>
          <w:rFonts w:hint="eastAsia"/>
          <w:color w:val="auto"/>
          <w:sz w:val="28"/>
          <w:szCs w:val="28"/>
        </w:rPr>
        <w:t>(1990年4月10日公安部令第6号发布施行)</w:t>
      </w:r>
    </w:p>
    <w:p>
      <w:pPr>
        <w:pStyle w:val="5"/>
        <w:keepNext w:val="0"/>
        <w:keepLines w:val="0"/>
        <w:snapToGrid w:val="0"/>
        <w:spacing w:before="0" w:after="0" w:line="360" w:lineRule="auto"/>
        <w:rPr>
          <w:rFonts w:ascii="宋体" w:hAnsi="宋体" w:cs="宋体"/>
          <w:sz w:val="28"/>
          <w:szCs w:val="28"/>
        </w:rPr>
      </w:pPr>
      <w:bookmarkStart w:id="104" w:name="_Toc67608764"/>
      <w:bookmarkStart w:id="105" w:name="_Toc25656170"/>
      <w:bookmarkStart w:id="106" w:name="_Toc59143854"/>
      <w:bookmarkStart w:id="107" w:name="_Toc23174422"/>
      <w:bookmarkStart w:id="108" w:name="_Toc16022"/>
      <w:r>
        <w:rPr>
          <w:rFonts w:hint="eastAsia" w:ascii="宋体" w:hAnsi="宋体" w:cs="宋体"/>
          <w:sz w:val="28"/>
          <w:szCs w:val="28"/>
        </w:rPr>
        <w:t>1.3.3 部门规章及规范性文件</w:t>
      </w:r>
      <w:bookmarkEnd w:id="104"/>
      <w:bookmarkEnd w:id="105"/>
      <w:bookmarkEnd w:id="106"/>
      <w:bookmarkEnd w:id="107"/>
      <w:bookmarkEnd w:id="108"/>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ascii="宋体" w:hAnsi="宋体"/>
          <w:sz w:val="28"/>
          <w:szCs w:val="28"/>
        </w:rPr>
        <w:t>《国务院关于进一步加强企业安全生产工作的通知》（国发〔2010〕23号，2010年7月19日）。</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《安全生产培训管理办法》（原</w:t>
      </w:r>
      <w:r>
        <w:rPr>
          <w:sz w:val="28"/>
          <w:szCs w:val="28"/>
        </w:rPr>
        <w:t>国家安全监管总局令第44号公布，根据2013年8月29日</w:t>
      </w:r>
      <w:r>
        <w:rPr>
          <w:rFonts w:hint="eastAsia"/>
          <w:sz w:val="28"/>
          <w:szCs w:val="28"/>
        </w:rPr>
        <w:t>原</w:t>
      </w:r>
      <w:r>
        <w:rPr>
          <w:sz w:val="28"/>
          <w:szCs w:val="28"/>
        </w:rPr>
        <w:t>国家安全监管总局令第63号第一次修正</w:t>
      </w:r>
      <w:r>
        <w:rPr>
          <w:rFonts w:hint="eastAsia"/>
          <w:sz w:val="28"/>
          <w:szCs w:val="28"/>
        </w:rPr>
        <w:t>，</w:t>
      </w:r>
      <w:r>
        <w:rPr>
          <w:sz w:val="28"/>
          <w:szCs w:val="28"/>
        </w:rPr>
        <w:t>根据2015年5月29日</w:t>
      </w:r>
      <w:r>
        <w:rPr>
          <w:rFonts w:hint="eastAsia"/>
          <w:sz w:val="28"/>
          <w:szCs w:val="28"/>
        </w:rPr>
        <w:t>原</w:t>
      </w:r>
      <w:r>
        <w:rPr>
          <w:sz w:val="28"/>
          <w:szCs w:val="28"/>
        </w:rPr>
        <w:t>国家安全监管总局令第80号第二次修正</w:t>
      </w:r>
      <w:r>
        <w:rPr>
          <w:rFonts w:hint="eastAsia"/>
          <w:sz w:val="28"/>
          <w:szCs w:val="28"/>
        </w:rPr>
        <w:t>）。</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《生产安全事故应急预案管理办法》（2016年6月3日原国家安全生产监督管理总局令第88号公布，根据2019年7月11日应急管理部令第2号《应急管理部关于修改&lt;生产安全事故应急预案管理办法&gt;的决定》修正）。</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《建设项目安全设施“三同时”监督管理办法》（2010年12月14日原国家安全监管总局令第36号公布，根据2015年4月2日原国家安全监管总局令第77号修正，2015年5月1日起实施）。</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特种作业人员安全技术培训考核管理规定》（2010年5月24日原国家安全监管总局令第30号公布，根据2013年8月29日原国家安全监管总局令第63号第一次修正，根据2015年5月29日原国家安全监管总局令第80号第二次修正）。</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《危险化学品目录（2015版）》（原安全监管总局、工业和信息化部、公安部、环境保护部、交通运输部、农业部、国家卫生计生委、质检总局、铁路局、民航局2015年第5号公告）。</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《应急管理部 工业和信息化部 公安部生态环境部 交通运输部 农业农村部 卫生健康委 市场监督总局 铁路局 民航局 公告》（2022年第8号1674柴油[闭杯闪点≤60℃]”调整为“1674柴油）。</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《国家安全监管总局办公厅关于印发危险化学品目录（2015版）实施指南（试行）的通知》（安监总厅管三〔2015〕80号）。</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《产业结构调整指导目录（2019年本）》（</w:t>
      </w:r>
      <w:r>
        <w:rPr>
          <w:sz w:val="28"/>
          <w:szCs w:val="28"/>
        </w:rPr>
        <w:t>中华人民共和国国家发展和改革委员会令第29号</w:t>
      </w:r>
      <w:r>
        <w:rPr>
          <w:rFonts w:hint="eastAsia"/>
          <w:sz w:val="28"/>
          <w:szCs w:val="28"/>
        </w:rPr>
        <w:t>，2019年8月27日第2次委务会议审议通过，自2020年1月1日起施行）。</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color w:val="auto"/>
          <w:sz w:val="28"/>
          <w:szCs w:val="28"/>
        </w:rPr>
      </w:pPr>
      <w:r>
        <w:rPr>
          <w:rFonts w:hint="eastAsia"/>
          <w:sz w:val="28"/>
          <w:szCs w:val="28"/>
        </w:rPr>
        <w:t>《关于印发&lt;企业安全生产费用提取和使用管理办法&gt;的通知》（财</w:t>
      </w:r>
      <w:r>
        <w:rPr>
          <w:rFonts w:hint="eastAsia"/>
          <w:color w:val="auto"/>
          <w:sz w:val="28"/>
          <w:szCs w:val="28"/>
        </w:rPr>
        <w:t>资〔2022〕136号）。</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color w:val="auto"/>
          <w:sz w:val="28"/>
          <w:szCs w:val="28"/>
        </w:rPr>
      </w:pPr>
      <w:r>
        <w:rPr>
          <w:rFonts w:hint="eastAsia" w:ascii="宋体" w:hAnsi="宋体" w:eastAsia="宋体" w:cs="宋体"/>
          <w:color w:val="auto"/>
          <w:sz w:val="28"/>
          <w:szCs w:val="28"/>
          <w:lang w:eastAsia="zh-CN"/>
        </w:rPr>
        <w:t>《工贸企业重大事故隐患判定标准》（中华人民共和国应急管理部令第10号，自2023年5月15日起施行）</w:t>
      </w:r>
      <w:r>
        <w:rPr>
          <w:rFonts w:hint="eastAsia"/>
          <w:color w:val="auto"/>
          <w:sz w:val="28"/>
          <w:szCs w:val="28"/>
        </w:rPr>
        <w:t>。</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《工贸企业有限空间作业安全管理与监督暂行规定》（原国家安全生产监督管理总局令第59号，原国家安全生产监督管理总局令第80号令修改，2013年7月1日起实施）。</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《安全生产事故隐患排查治理暂行规定》（原国家安全生产监督管理总局令第16号）。</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《国家安全监管总局办公厅关于开展工贸企业有限空间作业条件确认工作的通知》（安监总厅管四〔2014〕37号）。</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《质监总局关于修订&lt;特种设备目录&gt;的公告》（2014年第114号）</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《国家安全监管总局关于印发淘汰落后安全技术装备目录（2015年第一批）的通知》（安监总科技〔2015〕75号）。</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《用人单位劳动防护用品管理规范的通知》（安监总厅安健〔2018〕3号，2018年1月15日实施）。</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《建设工程消防设计审查验收管理暂行规定》（中华人民共和国住房和城乡建设部令第51号，2020年</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月</w:t>
      </w:r>
      <w:r>
        <w:rPr>
          <w:color w:val="000000" w:themeColor="text1"/>
          <w:sz w:val="28"/>
          <w:szCs w:val="28"/>
          <w14:textFill>
            <w14:solidFill>
              <w14:schemeClr w14:val="tx1"/>
            </w14:solidFill>
          </w14:textFill>
        </w:rPr>
        <w:t>19</w:t>
      </w:r>
      <w:r>
        <w:rPr>
          <w:rFonts w:hint="eastAsia"/>
          <w:color w:val="000000" w:themeColor="text1"/>
          <w:sz w:val="28"/>
          <w:szCs w:val="28"/>
          <w14:textFill>
            <w14:solidFill>
              <w14:schemeClr w14:val="tx1"/>
            </w14:solidFill>
          </w14:textFill>
        </w:rPr>
        <w:t>日第</w:t>
      </w:r>
      <w:r>
        <w:rPr>
          <w:color w:val="000000" w:themeColor="text1"/>
          <w:sz w:val="28"/>
          <w:szCs w:val="28"/>
          <w14:textFill>
            <w14:solidFill>
              <w14:schemeClr w14:val="tx1"/>
            </w14:solidFill>
          </w14:textFill>
        </w:rPr>
        <w:t>15</w:t>
      </w:r>
      <w:r>
        <w:rPr>
          <w:rFonts w:hint="eastAsia"/>
          <w:color w:val="000000" w:themeColor="text1"/>
          <w:sz w:val="28"/>
          <w:szCs w:val="28"/>
          <w14:textFill>
            <w14:solidFill>
              <w14:schemeClr w14:val="tx1"/>
            </w14:solidFill>
          </w14:textFill>
        </w:rPr>
        <w:t>次部务会议审议通过，自</w:t>
      </w:r>
      <w:r>
        <w:rPr>
          <w:color w:val="000000" w:themeColor="text1"/>
          <w:sz w:val="28"/>
          <w:szCs w:val="28"/>
          <w14:textFill>
            <w14:solidFill>
              <w14:schemeClr w14:val="tx1"/>
            </w14:solidFill>
          </w14:textFill>
        </w:rPr>
        <w:t>2020</w:t>
      </w:r>
      <w:r>
        <w:rPr>
          <w:rFonts w:hint="eastAsia"/>
          <w:color w:val="000000" w:themeColor="text1"/>
          <w:sz w:val="28"/>
          <w:szCs w:val="28"/>
          <w14:textFill>
            <w14:solidFill>
              <w14:schemeClr w14:val="tx1"/>
            </w14:solidFill>
          </w14:textFill>
        </w:rPr>
        <w:t>年</w:t>
      </w:r>
      <w:r>
        <w:rPr>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t>月</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日起施行）。</w:t>
      </w:r>
    </w:p>
    <w:p>
      <w:pPr>
        <w:numPr>
          <w:ilvl w:val="3"/>
          <w:numId w:val="2"/>
        </w:numPr>
        <w:tabs>
          <w:tab w:val="left" w:pos="567"/>
          <w:tab w:val="left" w:pos="735"/>
          <w:tab w:val="left" w:pos="945"/>
          <w:tab w:val="clear" w:pos="2240"/>
        </w:tabs>
        <w:adjustRightInd w:val="0"/>
        <w:snapToGrid w:val="0"/>
        <w:spacing w:line="360" w:lineRule="auto"/>
        <w:ind w:left="0" w:firstLine="560" w:firstLineChars="200"/>
        <w:rPr>
          <w:sz w:val="28"/>
          <w:szCs w:val="28"/>
        </w:rPr>
      </w:pPr>
      <w:r>
        <w:rPr>
          <w:rFonts w:hint="eastAsia"/>
          <w:sz w:val="28"/>
          <w:szCs w:val="28"/>
        </w:rPr>
        <w:t>《场(厂)内专用机动车辆安全技术规程》（TSG 81-2022）。</w:t>
      </w:r>
    </w:p>
    <w:p>
      <w:pPr>
        <w:pStyle w:val="5"/>
        <w:keepNext w:val="0"/>
        <w:keepLines w:val="0"/>
        <w:snapToGrid w:val="0"/>
        <w:spacing w:before="0" w:after="0" w:line="360" w:lineRule="auto"/>
        <w:rPr>
          <w:rFonts w:ascii="宋体" w:hAnsi="宋体" w:cs="宋体"/>
          <w:sz w:val="28"/>
          <w:szCs w:val="28"/>
        </w:rPr>
      </w:pPr>
      <w:bookmarkStart w:id="109" w:name="_Toc67608765"/>
      <w:bookmarkStart w:id="110" w:name="_Toc10188725"/>
      <w:bookmarkStart w:id="111" w:name="_Toc23174423"/>
      <w:bookmarkStart w:id="112" w:name="_Toc25656171"/>
      <w:bookmarkStart w:id="113" w:name="_Toc59143855"/>
      <w:bookmarkStart w:id="114" w:name="_Toc29824"/>
      <w:r>
        <w:rPr>
          <w:rFonts w:hint="eastAsia" w:ascii="宋体" w:hAnsi="宋体" w:cs="宋体"/>
          <w:sz w:val="28"/>
          <w:szCs w:val="28"/>
        </w:rPr>
        <w:t>1.3.4 地方法规</w:t>
      </w:r>
      <w:bookmarkEnd w:id="109"/>
      <w:bookmarkEnd w:id="110"/>
      <w:bookmarkEnd w:id="111"/>
      <w:bookmarkEnd w:id="112"/>
      <w:bookmarkEnd w:id="113"/>
      <w:r>
        <w:rPr>
          <w:rFonts w:hint="eastAsia" w:ascii="宋体" w:hAnsi="宋体" w:cs="宋体"/>
          <w:sz w:val="28"/>
          <w:szCs w:val="28"/>
        </w:rPr>
        <w:t>及规范性文件</w:t>
      </w:r>
      <w:bookmarkEnd w:id="114"/>
    </w:p>
    <w:p>
      <w:pPr>
        <w:tabs>
          <w:tab w:val="left" w:pos="0"/>
        </w:tabs>
        <w:snapToGrid w:val="0"/>
        <w:spacing w:line="360" w:lineRule="auto"/>
        <w:ind w:firstLine="560" w:firstLineChars="200"/>
        <w:rPr>
          <w:sz w:val="28"/>
          <w:szCs w:val="28"/>
        </w:rPr>
      </w:pPr>
      <w:r>
        <w:rPr>
          <w:rFonts w:hint="eastAsia"/>
          <w:sz w:val="28"/>
          <w:szCs w:val="28"/>
        </w:rPr>
        <w:t>1.《云南省安全生产条例》（云南省第十二届人民代表大会常务委员会公告第63号，2017年11月30日云南省第十二届人民代表大会常务委员会第三十八次会议修订，2018年1月1日施行）。</w:t>
      </w:r>
    </w:p>
    <w:p>
      <w:pPr>
        <w:tabs>
          <w:tab w:val="left" w:pos="0"/>
        </w:tabs>
        <w:snapToGrid w:val="0"/>
        <w:spacing w:line="360" w:lineRule="auto"/>
        <w:ind w:firstLine="560" w:firstLineChars="200"/>
        <w:rPr>
          <w:sz w:val="28"/>
          <w:szCs w:val="28"/>
          <w:lang w:val="zh-CN"/>
        </w:rPr>
      </w:pPr>
      <w:r>
        <w:rPr>
          <w:rFonts w:hint="eastAsia"/>
          <w:sz w:val="28"/>
          <w:szCs w:val="28"/>
        </w:rPr>
        <w:t>2.</w:t>
      </w:r>
      <w:r>
        <w:rPr>
          <w:sz w:val="28"/>
          <w:szCs w:val="28"/>
          <w:lang w:val="zh-CN"/>
        </w:rPr>
        <w:t>《云南省消防条例》（2010年9月30日云南省第十一届人民代表大会常务委员会第十九次会议通过</w:t>
      </w:r>
      <w:r>
        <w:rPr>
          <w:rFonts w:hint="eastAsia"/>
          <w:sz w:val="28"/>
          <w:szCs w:val="28"/>
          <w:lang w:val="zh-CN"/>
        </w:rPr>
        <w:t>，</w:t>
      </w:r>
      <w:r>
        <w:rPr>
          <w:sz w:val="28"/>
          <w:szCs w:val="28"/>
          <w:lang w:val="zh-CN"/>
        </w:rPr>
        <w:t>根据 2020 年 11 月 25 日云南省第十三届人民代表大会常务委员会第二十一次会议《云南省人民代表大会常务委员会关于修改部分地方性法规的决定》修正）</w:t>
      </w:r>
      <w:r>
        <w:rPr>
          <w:rFonts w:hint="eastAsia"/>
          <w:sz w:val="28"/>
          <w:szCs w:val="28"/>
          <w:lang w:val="zh-CN"/>
        </w:rPr>
        <w:t>。</w:t>
      </w:r>
    </w:p>
    <w:p>
      <w:pPr>
        <w:tabs>
          <w:tab w:val="left" w:pos="0"/>
        </w:tabs>
        <w:snapToGrid w:val="0"/>
        <w:spacing w:line="360" w:lineRule="auto"/>
        <w:ind w:firstLine="560" w:firstLineChars="200"/>
        <w:rPr>
          <w:sz w:val="28"/>
          <w:szCs w:val="28"/>
        </w:rPr>
      </w:pPr>
      <w:r>
        <w:rPr>
          <w:rFonts w:hint="eastAsia"/>
          <w:sz w:val="28"/>
          <w:szCs w:val="28"/>
        </w:rPr>
        <w:t>3.</w:t>
      </w:r>
      <w:r>
        <w:rPr>
          <w:sz w:val="28"/>
          <w:szCs w:val="28"/>
        </w:rPr>
        <w:t>《云南省人民政府贯彻落实</w:t>
      </w:r>
      <w:r>
        <w:rPr>
          <w:rFonts w:hint="eastAsia"/>
          <w:sz w:val="28"/>
          <w:szCs w:val="28"/>
        </w:rPr>
        <w:t>〈</w:t>
      </w:r>
      <w:r>
        <w:rPr>
          <w:sz w:val="28"/>
          <w:szCs w:val="28"/>
        </w:rPr>
        <w:t>国务院关于进一步加强企业安全生产工作通知</w:t>
      </w:r>
      <w:r>
        <w:rPr>
          <w:rFonts w:hint="eastAsia"/>
          <w:sz w:val="28"/>
          <w:szCs w:val="28"/>
        </w:rPr>
        <w:t>〉</w:t>
      </w:r>
      <w:r>
        <w:rPr>
          <w:sz w:val="28"/>
          <w:szCs w:val="28"/>
        </w:rPr>
        <w:t>的实施意见》（云政发</w:t>
      </w:r>
      <w:r>
        <w:rPr>
          <w:rFonts w:hint="eastAsia"/>
          <w:sz w:val="28"/>
          <w:szCs w:val="28"/>
        </w:rPr>
        <w:t>〔</w:t>
      </w:r>
      <w:r>
        <w:rPr>
          <w:sz w:val="28"/>
          <w:szCs w:val="28"/>
        </w:rPr>
        <w:t>2010</w:t>
      </w:r>
      <w:r>
        <w:rPr>
          <w:rFonts w:hint="eastAsia"/>
          <w:sz w:val="28"/>
          <w:szCs w:val="28"/>
        </w:rPr>
        <w:t>〕</w:t>
      </w:r>
      <w:r>
        <w:rPr>
          <w:sz w:val="28"/>
          <w:szCs w:val="28"/>
        </w:rPr>
        <w:t>157号）</w:t>
      </w:r>
      <w:r>
        <w:rPr>
          <w:rFonts w:hint="eastAsia"/>
          <w:sz w:val="28"/>
          <w:szCs w:val="28"/>
        </w:rPr>
        <w:t>。</w:t>
      </w:r>
    </w:p>
    <w:p>
      <w:pPr>
        <w:tabs>
          <w:tab w:val="left" w:pos="0"/>
        </w:tabs>
        <w:snapToGrid w:val="0"/>
        <w:spacing w:line="360" w:lineRule="auto"/>
        <w:ind w:firstLine="560" w:firstLineChars="200"/>
        <w:rPr>
          <w:sz w:val="28"/>
          <w:szCs w:val="28"/>
        </w:rPr>
      </w:pPr>
      <w:r>
        <w:rPr>
          <w:rFonts w:hint="eastAsia"/>
          <w:sz w:val="28"/>
          <w:szCs w:val="28"/>
        </w:rPr>
        <w:t>4.《关于印发关于深入开展工贸行业有限空间作业生产安全事故隐患排查治理暨有限空间作业条件确认安全监管执法2018年-2020年专项行动工作方案的通知》（云安监管〔2018〕7号）。</w:t>
      </w:r>
    </w:p>
    <w:p>
      <w:pPr>
        <w:tabs>
          <w:tab w:val="left" w:pos="0"/>
        </w:tabs>
        <w:snapToGrid w:val="0"/>
        <w:spacing w:line="360" w:lineRule="auto"/>
        <w:ind w:firstLine="560" w:firstLineChars="200"/>
        <w:rPr>
          <w:sz w:val="28"/>
          <w:szCs w:val="28"/>
        </w:rPr>
      </w:pPr>
      <w:r>
        <w:rPr>
          <w:rFonts w:hint="eastAsia"/>
          <w:sz w:val="28"/>
          <w:szCs w:val="28"/>
        </w:rPr>
        <w:t>5.《云南省工贸行业安全工程三年行动计划实施方案》（云安办〔2018〕48号）。</w:t>
      </w:r>
    </w:p>
    <w:p>
      <w:pPr>
        <w:tabs>
          <w:tab w:val="left" w:pos="0"/>
        </w:tabs>
        <w:snapToGrid w:val="0"/>
        <w:spacing w:line="360" w:lineRule="auto"/>
        <w:ind w:firstLine="560" w:firstLineChars="200"/>
        <w:rPr>
          <w:sz w:val="28"/>
          <w:szCs w:val="28"/>
        </w:rPr>
      </w:pPr>
      <w:r>
        <w:rPr>
          <w:rFonts w:hint="eastAsia"/>
          <w:sz w:val="28"/>
          <w:szCs w:val="28"/>
        </w:rPr>
        <w:t>6.《云南省应急管理厅关于学习使用《有限空间作业安全指导手册》和4个专题系列折页的通知》（云应急函〔2020〕238号）。</w:t>
      </w:r>
    </w:p>
    <w:p>
      <w:pPr>
        <w:pStyle w:val="5"/>
        <w:keepNext w:val="0"/>
        <w:keepLines w:val="0"/>
        <w:snapToGrid w:val="0"/>
        <w:spacing w:before="0" w:after="0" w:line="360" w:lineRule="auto"/>
        <w:rPr>
          <w:rFonts w:ascii="宋体" w:hAnsi="宋体" w:cs="宋体"/>
          <w:sz w:val="28"/>
          <w:szCs w:val="28"/>
        </w:rPr>
      </w:pPr>
      <w:bookmarkStart w:id="115" w:name="_Toc67608766"/>
      <w:bookmarkStart w:id="116" w:name="_Toc59143856"/>
      <w:bookmarkStart w:id="117" w:name="_Toc1728"/>
      <w:r>
        <w:rPr>
          <w:rFonts w:hint="eastAsia" w:ascii="宋体" w:hAnsi="宋体" w:cs="宋体"/>
          <w:sz w:val="28"/>
          <w:szCs w:val="28"/>
        </w:rPr>
        <w:t>1.3.5</w:t>
      </w:r>
      <w:r>
        <w:rPr>
          <w:rFonts w:hint="eastAsia" w:ascii="宋体" w:hAnsi="宋体" w:cs="宋体"/>
          <w:sz w:val="28"/>
          <w:szCs w:val="28"/>
          <w:lang w:val="en-US" w:eastAsia="zh-CN"/>
        </w:rPr>
        <w:t xml:space="preserve"> </w:t>
      </w:r>
      <w:r>
        <w:rPr>
          <w:rFonts w:hint="eastAsia" w:ascii="宋体" w:hAnsi="宋体" w:cs="宋体"/>
          <w:sz w:val="28"/>
          <w:szCs w:val="28"/>
        </w:rPr>
        <w:t>国家标准</w:t>
      </w:r>
      <w:bookmarkEnd w:id="115"/>
      <w:bookmarkEnd w:id="116"/>
      <w:r>
        <w:rPr>
          <w:rFonts w:hint="eastAsia" w:ascii="宋体" w:hAnsi="宋体" w:cs="宋体"/>
          <w:sz w:val="28"/>
          <w:szCs w:val="28"/>
        </w:rPr>
        <w:t>规范</w:t>
      </w:r>
      <w:bookmarkEnd w:id="117"/>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《机械电气安全机械电气设备第1部分通用技术条件》（GB/T5226.1-2019）；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《机械电气安全机械电气设备第7部分工业机器人技术条件》（GBT5226.7-2020）；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《机械电气安全机械电气设备第32部分：起重机械技术条件（2008版）》（GBT5226.32-2017）；</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《机械电气安全机械电气设备第34部分：机床技术条件》（GBT5226.34-2020）；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《自动化仪表工程施工及质量验收规范》（GB50093-2013）；</w:t>
      </w:r>
    </w:p>
    <w:p>
      <w:pPr>
        <w:numPr>
          <w:ilvl w:val="0"/>
          <w:numId w:val="3"/>
        </w:numPr>
        <w:tabs>
          <w:tab w:val="left" w:pos="0"/>
          <w:tab w:val="left" w:pos="630"/>
          <w:tab w:val="left" w:pos="720"/>
        </w:tabs>
        <w:snapToGrid w:val="0"/>
        <w:spacing w:line="360" w:lineRule="auto"/>
        <w:rPr>
          <w:sz w:val="28"/>
          <w:szCs w:val="28"/>
        </w:rPr>
      </w:pPr>
      <w:r>
        <w:rPr>
          <w:sz w:val="28"/>
          <w:szCs w:val="28"/>
        </w:rPr>
        <w:t xml:space="preserve">《机械工厂年时基数设计标准》（GB/T </w:t>
      </w:r>
      <w:r>
        <w:rPr>
          <w:rFonts w:hint="eastAsia"/>
          <w:sz w:val="28"/>
          <w:szCs w:val="28"/>
        </w:rPr>
        <w:t>51266</w:t>
      </w:r>
      <w:r>
        <w:rPr>
          <w:sz w:val="28"/>
          <w:szCs w:val="28"/>
        </w:rPr>
        <w:t>-20</w:t>
      </w:r>
      <w:r>
        <w:rPr>
          <w:rFonts w:hint="eastAsia"/>
          <w:sz w:val="28"/>
          <w:szCs w:val="28"/>
        </w:rPr>
        <w:t>17</w:t>
      </w:r>
      <w:r>
        <w:rPr>
          <w:sz w:val="28"/>
          <w:szCs w:val="28"/>
        </w:rPr>
        <w:t>）</w:t>
      </w:r>
      <w:r>
        <w:rPr>
          <w:rFonts w:hint="eastAsia"/>
          <w:sz w:val="28"/>
          <w:szCs w:val="28"/>
        </w:rPr>
        <w:t>；</w:t>
      </w:r>
    </w:p>
    <w:p>
      <w:pPr>
        <w:numPr>
          <w:ilvl w:val="0"/>
          <w:numId w:val="3"/>
        </w:numPr>
        <w:tabs>
          <w:tab w:val="left" w:pos="0"/>
          <w:tab w:val="left" w:pos="630"/>
          <w:tab w:val="left" w:pos="720"/>
        </w:tabs>
        <w:snapToGrid w:val="0"/>
        <w:spacing w:line="360" w:lineRule="auto"/>
        <w:rPr>
          <w:sz w:val="28"/>
          <w:szCs w:val="28"/>
        </w:rPr>
      </w:pPr>
      <w:r>
        <w:rPr>
          <w:sz w:val="28"/>
          <w:szCs w:val="28"/>
        </w:rPr>
        <w:t>《工业企业总平面设计规范》（GB50187-2012）</w:t>
      </w:r>
      <w:r>
        <w:rPr>
          <w:rFonts w:hint="eastAsia"/>
          <w:sz w:val="28"/>
          <w:szCs w:val="28"/>
        </w:rPr>
        <w:t>；</w:t>
      </w:r>
    </w:p>
    <w:p>
      <w:pPr>
        <w:numPr>
          <w:ilvl w:val="0"/>
          <w:numId w:val="3"/>
        </w:numPr>
        <w:tabs>
          <w:tab w:val="left" w:pos="0"/>
          <w:tab w:val="left" w:pos="630"/>
          <w:tab w:val="left" w:pos="720"/>
        </w:tabs>
        <w:snapToGrid w:val="0"/>
        <w:spacing w:line="360" w:lineRule="auto"/>
        <w:rPr>
          <w:sz w:val="28"/>
          <w:szCs w:val="28"/>
        </w:rPr>
      </w:pPr>
      <w:r>
        <w:rPr>
          <w:sz w:val="28"/>
          <w:szCs w:val="28"/>
        </w:rPr>
        <w:t>《工业企业设计卫生标准》（GBZ1-2010）</w:t>
      </w:r>
      <w:r>
        <w:rPr>
          <w:rFonts w:hint="eastAsia"/>
          <w:sz w:val="28"/>
          <w:szCs w:val="28"/>
        </w:rPr>
        <w:t>；</w:t>
      </w:r>
    </w:p>
    <w:p>
      <w:pPr>
        <w:numPr>
          <w:ilvl w:val="0"/>
          <w:numId w:val="3"/>
        </w:numPr>
        <w:tabs>
          <w:tab w:val="left" w:pos="0"/>
          <w:tab w:val="left" w:pos="630"/>
          <w:tab w:val="left" w:pos="720"/>
        </w:tabs>
        <w:snapToGrid w:val="0"/>
        <w:spacing w:line="360" w:lineRule="auto"/>
        <w:rPr>
          <w:sz w:val="28"/>
          <w:szCs w:val="28"/>
        </w:rPr>
      </w:pPr>
      <w:r>
        <w:rPr>
          <w:sz w:val="28"/>
          <w:szCs w:val="28"/>
        </w:rPr>
        <w:t>《生产过程安全卫生要求总则》（GB/T 12801-2008）</w:t>
      </w:r>
      <w:r>
        <w:rPr>
          <w:rFonts w:hint="eastAsia"/>
          <w:sz w:val="28"/>
          <w:szCs w:val="28"/>
        </w:rPr>
        <w:t>；</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《生产设备安全卫生设计总则》（GB5083-1999）；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《工业企业厂内铁路、道路运输安全规程》（GB4387-2008）；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《工业企业噪声控制设计规范》（GB/T 50087-2013）；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《工业建筑防腐设计标准》（GB50046-2018）；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《建筑设计防火规范（2018年版）》（GB50016-2014）；</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《建筑物防雷设计规范》（GB50057-2010）；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《建筑抗震设计规范（2016年版）》（GB 50011-2010）；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《危险化学品重大危险源辨识》（GB18218-2018）；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《建筑灭火器配置设计规范》（GB50140-2005）；</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《建筑采光设计标准》（GB 50033-2013）；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《建筑照明设计标准》（GB50034-2013）；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《室外给水设计标准》（GB50013-2018）；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《建筑给水排水设计标准》（GB 50015-2019）；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《消防给水及消火栓系统技术规范》（GB 50974-2014）；</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《企业职工伤亡事故分类标准》（GB6441-1986）；</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《生产过程危险和有害因素分类与代码》（GB/T13861-2022）；</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《火灾自动报警系统设计规范》（GB50116-2013）；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《工作场所有害因素职业接触限值第1部分:化学有害因素》（GBZ2.1-2019）；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《工作场所有害因素职业接触限值 第1部分:物理因素》（GBZ2.2-2007）；</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《工作场所职业病危害作业分级 第1部分:生产性粉尘》（GBZ/T 229.1-2010）；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图形符号 安全色和安全标志 第2部分：产品安全标签的设计原则》（GB2893.2-2020）；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《图形符号 安全色和安全标志 第3部分：安全标志用图形符号设计原则》（GB2893.3-2010）；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《图形符号 安全色和安全标志 第4部分：安全标志材料的色度属性和光度属性》（GB2893.4-2013）；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《图形符号 安全色和安全标志 第5部分：安全标志使用原则与要求》（GB/T 2893.5-2020）；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《消防安全标志 第1部分：标志》（GB 13495.1-2015）；</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《工业管道的基本识别色、识别符号和安全标识》（GB7231-2003）；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《工业设备及管道绝热工程设计规范》（GB50264-2013）；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《工业金属管道设计规范（2008版）》（GB50316-2000）；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《固定式钢梯及平台安全要求 第1部分：钢直梯》（GB 4053.1-2009）；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《固定式钢梯及平台安全要求 第2部分：钢斜梯》（GB 4053.2-2009）；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《固定式钢梯及平台安全要求 第3部分：工业防护栏杆及钢平台》（GB 4053.3-2009）；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《压力容器》（GB 150.1-150.4-2011）；</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《用电安全导则》（GB/T 13869-2017）；</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《电气设备安全设计导则》（GB4064-2010）；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《通用用电设备配电设计规范》（GB50055-2011）；</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《供配电系统设计规范》（GB50052-2009）；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《低压配电设计规范》（GB50054-2011）；</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《20kV及以下变电所设计规范》（GB50053-2013）；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《电气装置安装工程接地装置施工及验收规范》（GB 50169-2016）；</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《电击防护装置和设备的通用部分》（GB/T 17045-2020）；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《防止静电事故通用导则》（GB12158-2006）；</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《压缩空气站设计规范》（GB50029-2014）；</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《个体防护装备配备规范 第1部分：总则》（GB 39800.1-2020）；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《生产经营单位生产安全事故应急预案编制导则》（GB/T29639-2020）；</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《机械安全防护装置固定式和活动式防护装置设计与制造一般要求》（GB/T8196-2018）；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《机械安全 急停 设计原则》（GB 16754-2008）；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《机械电气安全 机械电气设备 第1部分：通用技术条件》（</w:t>
      </w:r>
      <w:r>
        <w:fldChar w:fldCharType="begin"/>
      </w:r>
      <w:r>
        <w:instrText xml:space="preserve"> HYPERLINK "http://www.jianbiaoku.com/webarbs/book/68171/4318561.shtml" \t "http://www.jianbiaoku.com/webarbs/book/68171/_self" </w:instrText>
      </w:r>
      <w:r>
        <w:fldChar w:fldCharType="separate"/>
      </w:r>
      <w:r>
        <w:rPr>
          <w:rFonts w:hint="eastAsia"/>
          <w:sz w:val="28"/>
          <w:szCs w:val="28"/>
        </w:rPr>
        <w:t> GB/T5226.1-2019</w:t>
      </w:r>
      <w:r>
        <w:rPr>
          <w:rFonts w:hint="eastAsia"/>
          <w:sz w:val="28"/>
          <w:szCs w:val="28"/>
        </w:rPr>
        <w:fldChar w:fldCharType="end"/>
      </w:r>
      <w:r>
        <w:rPr>
          <w:rFonts w:hint="eastAsia"/>
          <w:sz w:val="28"/>
          <w:szCs w:val="28"/>
        </w:rPr>
        <w:t>）；</w:t>
      </w:r>
    </w:p>
    <w:p>
      <w:pPr>
        <w:numPr>
          <w:ilvl w:val="0"/>
          <w:numId w:val="3"/>
        </w:numPr>
        <w:tabs>
          <w:tab w:val="left" w:pos="0"/>
          <w:tab w:val="left" w:pos="630"/>
          <w:tab w:val="left" w:pos="720"/>
        </w:tabs>
        <w:snapToGrid w:val="0"/>
        <w:spacing w:line="360" w:lineRule="auto"/>
      </w:pPr>
      <w:r>
        <w:rPr>
          <w:rFonts w:hint="eastAsia"/>
          <w:sz w:val="28"/>
          <w:szCs w:val="28"/>
        </w:rPr>
        <w:t>《机械安全 防止上下肢触及危险区的安全距离》（GB23821-2009）；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《加工中心安全防护技术条件》（GB18568-2001）；</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《磨削机械安全规程》（GB4674-2009）；</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《电火花加工机床安全防护技术要求》（GB13567-1998）；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《冷冲压安全操作规程》（GB 13887-2008）；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《厂矿道路设计规范》（GBJ22-87）；</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《机械安全 固定式直梯的安全设计规范》（GB/T31254-2014）；</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《机械安全 工业楼梯、工作平台和通道的安全设计规范》（GB/T 31255-2014）；</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《机械安全 安全防护的实施准则》（GB/T 30574-2014）；</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《涂装作业安全规程安全管理通则》（GB7691-2011）；</w:t>
      </w:r>
    </w:p>
    <w:p>
      <w:pPr>
        <w:numPr>
          <w:ilvl w:val="0"/>
          <w:numId w:val="3"/>
        </w:numPr>
        <w:tabs>
          <w:tab w:val="left" w:pos="0"/>
          <w:tab w:val="left" w:pos="630"/>
          <w:tab w:val="left" w:pos="720"/>
        </w:tabs>
        <w:snapToGrid w:val="0"/>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《信号报警及联锁系统设计规范》（HGT20511-2014）；</w:t>
      </w:r>
    </w:p>
    <w:p>
      <w:pPr>
        <w:numPr>
          <w:ilvl w:val="0"/>
          <w:numId w:val="3"/>
        </w:numPr>
        <w:tabs>
          <w:tab w:val="left" w:pos="0"/>
          <w:tab w:val="left" w:pos="630"/>
          <w:tab w:val="left" w:pos="720"/>
        </w:tabs>
        <w:snapToGrid w:val="0"/>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《机械安全 急停装置技术条件》（GB∕T 41349-2022）；</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《涂装作业安全规程涂漆前处理工艺安全及其通风净化》（GB7692-2012）；</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《涂装作业安全规程涂漆工艺安全及其通风净化》（GB6514-2008）；</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《涂装作业安全规程喷漆室安全技术规定》（GB 14444-2006） ；</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《爆炸危险环境电力装置设计规范》（GB 50058-2014）；</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《爆炸性环境 第13部分: 设备的修理、检修、修复和改造》（GB 3836.13-2013）；</w:t>
      </w:r>
    </w:p>
    <w:p>
      <w:pPr>
        <w:numPr>
          <w:ilvl w:val="0"/>
          <w:numId w:val="3"/>
        </w:numPr>
        <w:tabs>
          <w:tab w:val="left" w:pos="0"/>
          <w:tab w:val="left" w:pos="630"/>
          <w:tab w:val="left" w:pos="720"/>
        </w:tabs>
        <w:snapToGrid w:val="0"/>
        <w:spacing w:line="360" w:lineRule="auto"/>
        <w:rPr>
          <w:sz w:val="28"/>
          <w:szCs w:val="28"/>
        </w:rPr>
      </w:pPr>
      <w:r>
        <w:rPr>
          <w:rFonts w:hint="eastAsia"/>
          <w:sz w:val="28"/>
          <w:szCs w:val="28"/>
        </w:rPr>
        <w:t>《工业环境用机器人 安全要求第１部分：机器人》（GB11291.1-2011）</w:t>
      </w:r>
    </w:p>
    <w:p>
      <w:pPr>
        <w:pStyle w:val="5"/>
        <w:keepNext w:val="0"/>
        <w:keepLines w:val="0"/>
        <w:snapToGrid w:val="0"/>
        <w:spacing w:before="0" w:after="0" w:line="360" w:lineRule="auto"/>
        <w:rPr>
          <w:rFonts w:ascii="宋体" w:hAnsi="宋体" w:cs="宋体"/>
          <w:sz w:val="28"/>
          <w:szCs w:val="28"/>
        </w:rPr>
      </w:pPr>
      <w:bookmarkStart w:id="118" w:name="_Toc300069281"/>
      <w:bookmarkStart w:id="119" w:name="_Toc331963183"/>
      <w:bookmarkStart w:id="120" w:name="_Toc373534853"/>
      <w:bookmarkStart w:id="121" w:name="_Toc17973"/>
      <w:bookmarkStart w:id="122" w:name="_Toc515093436"/>
      <w:r>
        <w:rPr>
          <w:rFonts w:hint="eastAsia" w:ascii="宋体" w:hAnsi="宋体" w:cs="宋体"/>
          <w:sz w:val="28"/>
          <w:szCs w:val="28"/>
        </w:rPr>
        <w:t>1.3.6</w:t>
      </w:r>
      <w:r>
        <w:rPr>
          <w:rFonts w:hint="eastAsia" w:ascii="宋体" w:hAnsi="宋体" w:cs="宋体"/>
          <w:sz w:val="28"/>
          <w:szCs w:val="28"/>
          <w:lang w:val="en-US" w:eastAsia="zh-CN"/>
        </w:rPr>
        <w:t xml:space="preserve"> </w:t>
      </w:r>
      <w:r>
        <w:rPr>
          <w:rFonts w:hint="eastAsia" w:ascii="宋体" w:hAnsi="宋体" w:cs="宋体"/>
          <w:sz w:val="28"/>
          <w:szCs w:val="28"/>
        </w:rPr>
        <w:t>行业标准</w:t>
      </w:r>
      <w:bookmarkEnd w:id="118"/>
      <w:bookmarkEnd w:id="119"/>
      <w:r>
        <w:rPr>
          <w:rFonts w:hint="eastAsia" w:ascii="宋体" w:hAnsi="宋体" w:cs="宋体"/>
          <w:sz w:val="28"/>
          <w:szCs w:val="28"/>
        </w:rPr>
        <w:t>规范</w:t>
      </w:r>
      <w:bookmarkEnd w:id="120"/>
      <w:bookmarkEnd w:id="121"/>
      <w:bookmarkEnd w:id="122"/>
    </w:p>
    <w:p>
      <w:pPr>
        <w:numPr>
          <w:ilvl w:val="0"/>
          <w:numId w:val="4"/>
        </w:numPr>
        <w:tabs>
          <w:tab w:val="left" w:pos="840"/>
        </w:tabs>
        <w:adjustRightInd w:val="0"/>
        <w:snapToGrid w:val="0"/>
        <w:spacing w:line="360" w:lineRule="auto"/>
        <w:ind w:left="0" w:firstLine="561"/>
        <w:rPr>
          <w:sz w:val="28"/>
          <w:szCs w:val="21"/>
        </w:rPr>
      </w:pPr>
      <w:r>
        <w:rPr>
          <w:sz w:val="28"/>
          <w:szCs w:val="21"/>
        </w:rPr>
        <w:t>《安全评价通则》（AQ8001-2007）</w:t>
      </w:r>
      <w:r>
        <w:rPr>
          <w:rFonts w:hint="eastAsia"/>
          <w:sz w:val="28"/>
          <w:szCs w:val="21"/>
        </w:rPr>
        <w:t>；</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《安全验收评价导则》（AQ8003-2007）；</w:t>
      </w:r>
    </w:p>
    <w:p>
      <w:pPr>
        <w:numPr>
          <w:ilvl w:val="0"/>
          <w:numId w:val="4"/>
        </w:numPr>
        <w:tabs>
          <w:tab w:val="left" w:pos="840"/>
        </w:tabs>
        <w:adjustRightInd w:val="0"/>
        <w:snapToGrid w:val="0"/>
        <w:spacing w:line="360" w:lineRule="auto"/>
        <w:ind w:left="0" w:firstLine="561"/>
        <w:rPr>
          <w:sz w:val="28"/>
          <w:szCs w:val="21"/>
        </w:rPr>
      </w:pPr>
      <w:r>
        <w:rPr>
          <w:sz w:val="28"/>
          <w:szCs w:val="21"/>
        </w:rPr>
        <w:t>《危险场所电气防爆安全规范》（AQ3009-2007）</w:t>
      </w:r>
      <w:r>
        <w:rPr>
          <w:rFonts w:hint="eastAsia"/>
          <w:sz w:val="28"/>
          <w:szCs w:val="21"/>
        </w:rPr>
        <w:t>；</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《机械压力机安全使用要求》（AQ7001-2007）；</w:t>
      </w:r>
    </w:p>
    <w:p>
      <w:pPr>
        <w:numPr>
          <w:ilvl w:val="0"/>
          <w:numId w:val="4"/>
        </w:numPr>
        <w:tabs>
          <w:tab w:val="left" w:pos="840"/>
        </w:tabs>
        <w:adjustRightInd w:val="0"/>
        <w:snapToGrid w:val="0"/>
        <w:spacing w:line="360" w:lineRule="auto"/>
        <w:ind w:left="0" w:firstLine="561"/>
        <w:rPr>
          <w:sz w:val="28"/>
          <w:szCs w:val="21"/>
        </w:rPr>
      </w:pPr>
      <w:r>
        <w:rPr>
          <w:sz w:val="28"/>
          <w:szCs w:val="21"/>
        </w:rPr>
        <w:t>《生产安全事故应急演练</w:t>
      </w:r>
      <w:r>
        <w:rPr>
          <w:rFonts w:hint="eastAsia"/>
          <w:sz w:val="28"/>
          <w:szCs w:val="21"/>
        </w:rPr>
        <w:t>基本规范</w:t>
      </w:r>
      <w:r>
        <w:rPr>
          <w:sz w:val="28"/>
          <w:szCs w:val="21"/>
        </w:rPr>
        <w:t>》（AQ/T 9007-201</w:t>
      </w:r>
      <w:r>
        <w:rPr>
          <w:rFonts w:hint="eastAsia"/>
          <w:sz w:val="28"/>
          <w:szCs w:val="21"/>
        </w:rPr>
        <w:t>9</w:t>
      </w:r>
      <w:r>
        <w:rPr>
          <w:sz w:val="28"/>
          <w:szCs w:val="21"/>
        </w:rPr>
        <w:t>）</w:t>
      </w:r>
      <w:r>
        <w:rPr>
          <w:rFonts w:hint="eastAsia"/>
          <w:sz w:val="28"/>
          <w:szCs w:val="21"/>
        </w:rPr>
        <w:t>；</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《机械制造企业安全生产标准化规范》（AQ/T7009-2013）；</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《移动式压力容器安全技术监察规程》（TSGR0005-2011）；</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《钢结构防火涂料应用技术规范》（T/CECS 24-2020）；</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《机械工程建设项目职业安全卫生设计规范》（GB51155-2016）；</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《带式输送机用逆止器》（JB/T 9015-2011）；</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《金属切削加工安全要求》（JB7741-1995）；</w:t>
      </w:r>
    </w:p>
    <w:p>
      <w:pPr>
        <w:numPr>
          <w:ilvl w:val="0"/>
          <w:numId w:val="4"/>
        </w:numPr>
        <w:tabs>
          <w:tab w:val="left" w:pos="840"/>
        </w:tabs>
        <w:adjustRightInd w:val="0"/>
        <w:snapToGrid w:val="0"/>
        <w:spacing w:line="360" w:lineRule="auto"/>
        <w:ind w:left="0" w:firstLine="561"/>
        <w:rPr>
          <w:sz w:val="28"/>
          <w:szCs w:val="21"/>
        </w:rPr>
      </w:pPr>
      <w:r>
        <w:rPr>
          <w:rFonts w:hint="eastAsia" w:ascii="Times New Roman" w:hAnsi="Times New Roman" w:eastAsia="宋体" w:cs="Times New Roman"/>
          <w:color w:val="auto"/>
          <w:sz w:val="28"/>
          <w:szCs w:val="21"/>
        </w:rPr>
        <w:t>《起重机械安全规程》（GB6067-2010）</w:t>
      </w:r>
      <w:r>
        <w:rPr>
          <w:rFonts w:hint="eastAsia"/>
          <w:sz w:val="28"/>
          <w:szCs w:val="21"/>
        </w:rPr>
        <w:t>；</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《带式输送机安全规范》（GB14784-2013）；</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《气瓶安全技术规程》（TSG 23—2021</w:t>
      </w:r>
      <w:r>
        <w:rPr>
          <w:sz w:val="28"/>
          <w:szCs w:val="21"/>
        </w:rPr>
        <w:t>）</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《气瓶搬运、装卸、储存和使用安全规定》（GB/T 34525-2017）；</w:t>
      </w:r>
    </w:p>
    <w:p>
      <w:pPr>
        <w:numPr>
          <w:ilvl w:val="0"/>
          <w:numId w:val="4"/>
        </w:numPr>
        <w:tabs>
          <w:tab w:val="left" w:pos="840"/>
        </w:tabs>
        <w:adjustRightInd w:val="0"/>
        <w:snapToGrid w:val="0"/>
        <w:spacing w:line="360" w:lineRule="auto"/>
        <w:ind w:left="0" w:firstLine="561"/>
        <w:rPr>
          <w:sz w:val="28"/>
          <w:szCs w:val="21"/>
        </w:rPr>
      </w:pPr>
      <w:r>
        <w:rPr>
          <w:rFonts w:hint="eastAsia"/>
          <w:sz w:val="28"/>
          <w:szCs w:val="21"/>
        </w:rPr>
        <w:t>《手持式电动工具的管理、使用、检查和维修安全技术规程》（GB/T 3787-2017）。</w:t>
      </w:r>
    </w:p>
    <w:p>
      <w:pPr>
        <w:pStyle w:val="5"/>
        <w:keepNext w:val="0"/>
        <w:keepLines w:val="0"/>
        <w:snapToGrid w:val="0"/>
        <w:spacing w:before="0" w:after="0" w:line="360" w:lineRule="auto"/>
        <w:rPr>
          <w:rFonts w:ascii="宋体" w:hAnsi="宋体" w:cs="宋体"/>
          <w:sz w:val="28"/>
          <w:szCs w:val="28"/>
        </w:rPr>
      </w:pPr>
      <w:bookmarkStart w:id="123" w:name="_Toc11946"/>
      <w:r>
        <w:rPr>
          <w:rFonts w:hint="eastAsia" w:ascii="宋体" w:hAnsi="宋体" w:cs="宋体"/>
          <w:sz w:val="28"/>
          <w:szCs w:val="28"/>
        </w:rPr>
        <w:t>1.3.7</w:t>
      </w:r>
      <w:r>
        <w:rPr>
          <w:rFonts w:hint="eastAsia" w:ascii="宋体" w:hAnsi="宋体" w:cs="宋体"/>
          <w:sz w:val="28"/>
          <w:szCs w:val="28"/>
          <w:lang w:val="en-US" w:eastAsia="zh-CN"/>
        </w:rPr>
        <w:t xml:space="preserve"> </w:t>
      </w:r>
      <w:r>
        <w:rPr>
          <w:rFonts w:hint="eastAsia" w:ascii="宋体" w:hAnsi="宋体" w:cs="宋体"/>
          <w:sz w:val="28"/>
          <w:szCs w:val="28"/>
        </w:rPr>
        <w:t>依据的相关文件、资料</w:t>
      </w:r>
      <w:bookmarkEnd w:id="99"/>
      <w:bookmarkEnd w:id="100"/>
      <w:bookmarkEnd w:id="101"/>
      <w:bookmarkEnd w:id="123"/>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Pr>
        <w:pStyle w:val="21"/>
        <w:snapToGrid w:val="0"/>
        <w:spacing w:line="360" w:lineRule="auto"/>
        <w:ind w:firstLine="560" w:firstLineChars="200"/>
        <w:rPr>
          <w:rFonts w:ascii="宋体" w:hAnsi="宋体" w:cs="宋体"/>
          <w:sz w:val="28"/>
          <w:szCs w:val="28"/>
        </w:rPr>
      </w:pPr>
      <w:bookmarkStart w:id="124" w:name="_Toc180983237"/>
      <w:bookmarkStart w:id="125" w:name="_Toc191893176"/>
      <w:bookmarkStart w:id="126" w:name="_Toc188696624"/>
      <w:bookmarkStart w:id="127" w:name="_Toc204424744"/>
      <w:bookmarkStart w:id="128" w:name="_Toc182295339"/>
      <w:r>
        <w:rPr>
          <w:sz w:val="28"/>
          <w:szCs w:val="28"/>
        </w:rPr>
        <w:t>1.</w:t>
      </w:r>
      <w:r>
        <w:rPr>
          <w:rFonts w:hint="eastAsia" w:ascii="宋体" w:hAnsi="宋体" w:cs="宋体"/>
          <w:sz w:val="28"/>
          <w:szCs w:val="28"/>
        </w:rPr>
        <w:t>昆明云内动力股份有限公司委托昭通市鼎安科技有限公司进行安全验收评价的《委托书》；</w:t>
      </w:r>
    </w:p>
    <w:p>
      <w:pPr>
        <w:pStyle w:val="21"/>
        <w:snapToGrid w:val="0"/>
        <w:spacing w:line="360" w:lineRule="auto"/>
        <w:ind w:firstLine="560" w:firstLineChars="200"/>
        <w:rPr>
          <w:rFonts w:ascii="宋体" w:hAnsi="宋体" w:cs="宋体"/>
          <w:sz w:val="28"/>
          <w:szCs w:val="28"/>
        </w:rPr>
      </w:pPr>
      <w:r>
        <w:rPr>
          <w:sz w:val="28"/>
          <w:szCs w:val="28"/>
        </w:rPr>
        <w:t>2.</w:t>
      </w:r>
      <w:r>
        <w:rPr>
          <w:rFonts w:hint="eastAsia" w:ascii="宋体" w:hAnsi="宋体" w:cs="宋体"/>
          <w:sz w:val="28"/>
          <w:szCs w:val="28"/>
        </w:rPr>
        <w:t>昆明经济技术开发区经济发展局核准的投资项目备案证，备案项目编号：</w:t>
      </w:r>
      <w:r>
        <w:rPr>
          <w:rFonts w:hint="eastAsia" w:ascii="宋体" w:hAnsi="宋体" w:cs="宋体"/>
          <w:color w:val="000000" w:themeColor="text1"/>
          <w:sz w:val="28"/>
          <w:szCs w:val="28"/>
          <w14:textFill>
            <w14:solidFill>
              <w14:schemeClr w14:val="tx1"/>
            </w14:solidFill>
          </w14:textFill>
        </w:rPr>
        <w:t>2020-530131-36-03-022285</w:t>
      </w:r>
      <w:r>
        <w:rPr>
          <w:rFonts w:hint="eastAsia" w:ascii="宋体" w:hAnsi="宋体" w:cs="宋体"/>
          <w:sz w:val="28"/>
          <w:szCs w:val="28"/>
        </w:rPr>
        <w:t>；</w:t>
      </w:r>
    </w:p>
    <w:p>
      <w:pPr>
        <w:pStyle w:val="21"/>
        <w:snapToGrid w:val="0"/>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3.《昆明云内动力股份有限公司G系列节能环保轻型商用车汽油机产业化建设项目安全预评价报告》（云南云天咨询有限公司，2020年6月）</w:t>
      </w:r>
    </w:p>
    <w:p>
      <w:pPr>
        <w:pStyle w:val="21"/>
        <w:snapToGrid w:val="0"/>
        <w:spacing w:line="360" w:lineRule="auto"/>
        <w:ind w:firstLine="560" w:firstLineChars="200"/>
        <w:rPr>
          <w:rFonts w:ascii="宋体" w:hAnsi="宋体" w:cs="宋体"/>
          <w:sz w:val="28"/>
          <w:szCs w:val="28"/>
        </w:rPr>
      </w:pPr>
      <w:r>
        <w:rPr>
          <w:rFonts w:hint="eastAsia"/>
          <w:sz w:val="28"/>
          <w:szCs w:val="28"/>
        </w:rPr>
        <w:t>4</w:t>
      </w:r>
      <w:r>
        <w:rPr>
          <w:sz w:val="28"/>
          <w:szCs w:val="28"/>
        </w:rPr>
        <w:t>.</w:t>
      </w:r>
      <w:r>
        <w:rPr>
          <w:rFonts w:hint="eastAsia" w:ascii="宋体" w:hAnsi="宋体" w:cs="宋体"/>
          <w:sz w:val="28"/>
          <w:szCs w:val="28"/>
        </w:rPr>
        <w:t>《昆明云内动力股份有限公司G系列节能环保轻型商用车汽油机产业化建设项目安全设施设计》（中基中联工程有限公司，2021年5月）。</w:t>
      </w:r>
    </w:p>
    <w:p>
      <w:pPr>
        <w:pStyle w:val="4"/>
        <w:keepNext w:val="0"/>
        <w:keepLines w:val="0"/>
        <w:snapToGrid w:val="0"/>
        <w:spacing w:before="0" w:after="0" w:line="360" w:lineRule="auto"/>
        <w:jc w:val="left"/>
        <w:rPr>
          <w:rFonts w:ascii="宋体" w:hAnsi="宋体" w:cs="宋体"/>
          <w:snapToGrid/>
          <w:kern w:val="2"/>
        </w:rPr>
      </w:pPr>
      <w:bookmarkStart w:id="129" w:name="_Toc9340"/>
      <w:r>
        <w:rPr>
          <w:rFonts w:ascii="宋体" w:hAnsi="宋体" w:cs="宋体"/>
          <w:snapToGrid/>
          <w:kern w:val="2"/>
        </w:rPr>
        <w:t>1.4</w:t>
      </w:r>
      <w:r>
        <w:rPr>
          <w:rFonts w:hint="eastAsia" w:ascii="宋体" w:hAnsi="宋体" w:cs="宋体"/>
          <w:snapToGrid/>
          <w:kern w:val="2"/>
          <w:lang w:val="en-US" w:eastAsia="zh-CN"/>
        </w:rPr>
        <w:t xml:space="preserve"> </w:t>
      </w:r>
      <w:r>
        <w:rPr>
          <w:rFonts w:hint="eastAsia" w:ascii="宋体" w:hAnsi="宋体" w:cs="宋体"/>
          <w:snapToGrid/>
          <w:kern w:val="2"/>
        </w:rPr>
        <w:t>评价范围</w:t>
      </w:r>
      <w:bookmarkEnd w:id="124"/>
      <w:bookmarkEnd w:id="125"/>
      <w:bookmarkEnd w:id="126"/>
      <w:bookmarkEnd w:id="127"/>
      <w:bookmarkEnd w:id="128"/>
      <w:bookmarkEnd w:id="129"/>
    </w:p>
    <w:p>
      <w:pPr>
        <w:pStyle w:val="21"/>
        <w:snapToGrid w:val="0"/>
        <w:spacing w:line="360" w:lineRule="auto"/>
        <w:ind w:firstLine="560" w:firstLineChars="200"/>
        <w:jc w:val="both"/>
        <w:rPr>
          <w:rFonts w:ascii="宋体" w:hAnsi="宋体" w:cs="宋体"/>
          <w:color w:val="000000" w:themeColor="text1"/>
          <w:sz w:val="28"/>
          <w:szCs w:val="28"/>
          <w14:textFill>
            <w14:solidFill>
              <w14:schemeClr w14:val="tx1"/>
            </w14:solidFill>
          </w14:textFill>
        </w:rPr>
      </w:pPr>
      <w:bookmarkStart w:id="130" w:name="_Toc188696625"/>
      <w:bookmarkStart w:id="131" w:name="_Toc110054643"/>
      <w:bookmarkStart w:id="132" w:name="_Toc191893177"/>
      <w:bookmarkStart w:id="133" w:name="_Toc162345372"/>
      <w:bookmarkStart w:id="134" w:name="_Toc110230228"/>
      <w:bookmarkStart w:id="135" w:name="_Toc72124275"/>
      <w:bookmarkStart w:id="136" w:name="_Toc182295340"/>
      <w:bookmarkStart w:id="137" w:name="_Toc110256428"/>
      <w:bookmarkStart w:id="138" w:name="_Toc156879854"/>
      <w:bookmarkStart w:id="139" w:name="_Toc111304625"/>
      <w:bookmarkStart w:id="140" w:name="_Toc98084202"/>
      <w:bookmarkStart w:id="141" w:name="_Toc156195663"/>
      <w:bookmarkStart w:id="142" w:name="_Toc149299968"/>
      <w:bookmarkStart w:id="143" w:name="_Toc204424745"/>
      <w:bookmarkStart w:id="144" w:name="_Toc80677756"/>
      <w:bookmarkStart w:id="145" w:name="_Toc89158388"/>
      <w:r>
        <w:rPr>
          <w:rFonts w:hint="eastAsia" w:ascii="宋体" w:hAnsi="宋体" w:cs="宋体"/>
          <w:sz w:val="28"/>
          <w:szCs w:val="28"/>
        </w:rPr>
        <w:t>本次评价范围为：根据企业的委托和评价协议，依据《昆明云内动力股份有限公司G系列节能环保轻型商用车汽油机产业化建设项目安全设施设计专篇》，本次评价范围为昆明云内动力股份有限公司G系列节能环保轻型商用车汽油机产业化建设项目的项目选址、总平面布置、生产工艺装置与生产相关的公辅设施（供排水、供配电等）等</w:t>
      </w:r>
      <w:r>
        <w:rPr>
          <w:rFonts w:hint="eastAsia" w:ascii="宋体" w:hAnsi="宋体" w:cs="宋体"/>
          <w:color w:val="000000" w:themeColor="text1"/>
          <w:sz w:val="28"/>
          <w:szCs w:val="28"/>
          <w14:textFill>
            <w14:solidFill>
              <w14:schemeClr w14:val="tx1"/>
            </w14:solidFill>
          </w14:textFill>
        </w:rPr>
        <w:t>。</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2400"/>
        <w:gridCol w:w="1905"/>
        <w:gridCol w:w="4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2400"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项目所在建筑物名称</w:t>
            </w:r>
          </w:p>
        </w:tc>
        <w:tc>
          <w:tcPr>
            <w:tcW w:w="1905"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功能分区</w:t>
            </w:r>
          </w:p>
        </w:tc>
        <w:tc>
          <w:tcPr>
            <w:tcW w:w="4226"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2400" w:type="dxa"/>
            <w:vMerge w:val="restart"/>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第三联合厂房（新建）</w:t>
            </w:r>
          </w:p>
        </w:tc>
        <w:tc>
          <w:tcPr>
            <w:tcW w:w="1905"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生产区域</w:t>
            </w:r>
          </w:p>
        </w:tc>
        <w:tc>
          <w:tcPr>
            <w:tcW w:w="4226"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机加工区、总装区、成品包装区、翻包装区、试车区、后装及补漆区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2400" w:type="dxa"/>
            <w:vMerge w:val="continue"/>
            <w:vAlign w:val="center"/>
          </w:tcPr>
          <w:p>
            <w:pPr>
              <w:pStyle w:val="21"/>
              <w:snapToGrid w:val="0"/>
              <w:jc w:val="center"/>
              <w:rPr>
                <w:rFonts w:ascii="宋体" w:hAnsi="宋体" w:cs="宋体"/>
                <w:color w:val="000000" w:themeColor="text1"/>
                <w:sz w:val="24"/>
                <w14:textFill>
                  <w14:solidFill>
                    <w14:schemeClr w14:val="tx1"/>
                  </w14:solidFill>
                </w14:textFill>
              </w:rPr>
            </w:pPr>
          </w:p>
        </w:tc>
        <w:tc>
          <w:tcPr>
            <w:tcW w:w="1905"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辅助区域</w:t>
            </w:r>
          </w:p>
        </w:tc>
        <w:tc>
          <w:tcPr>
            <w:tcW w:w="4226" w:type="dxa"/>
            <w:vAlign w:val="center"/>
          </w:tcPr>
          <w:p>
            <w:pPr>
              <w:pStyle w:val="21"/>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油漆间、调漆室、仓库、试验台架区、标气间等</w:t>
            </w:r>
          </w:p>
        </w:tc>
      </w:tr>
    </w:tbl>
    <w:p>
      <w:pPr>
        <w:pStyle w:val="21"/>
        <w:snapToGrid w:val="0"/>
        <w:spacing w:line="360" w:lineRule="auto"/>
        <w:ind w:firstLine="560" w:firstLineChars="200"/>
        <w:jc w:val="both"/>
        <w:rPr>
          <w:rFonts w:ascii="宋体" w:hAnsi="宋体" w:cs="宋体"/>
          <w:sz w:val="28"/>
          <w:szCs w:val="28"/>
        </w:rPr>
      </w:pPr>
      <w:r>
        <w:rPr>
          <w:rFonts w:hint="eastAsia"/>
          <w:sz w:val="28"/>
          <w:szCs w:val="28"/>
        </w:rPr>
        <w:t>第三联合厂房仓库J轴线上4柱、1/37柱和M轴线上4柱、1/37柱之间所围区域租赁给</w:t>
      </w:r>
      <w:r>
        <w:rPr>
          <w:rFonts w:hint="eastAsia" w:ascii="宋体" w:hAnsi="宋体" w:cs="宋体"/>
          <w:sz w:val="28"/>
          <w:szCs w:val="28"/>
        </w:rPr>
        <w:t>昆明恒和环保科技有限公司堆放产品，租赁合同见附件二十一，但验收工作由本项目执行</w:t>
      </w:r>
      <w:r>
        <w:rPr>
          <w:rFonts w:hint="eastAsia" w:ascii="宋体" w:hAnsi="宋体" w:cs="宋体"/>
          <w:color w:val="000000" w:themeColor="text1"/>
          <w:sz w:val="28"/>
          <w:szCs w:val="28"/>
          <w14:textFill>
            <w14:solidFill>
              <w14:schemeClr w14:val="tx1"/>
            </w14:solidFill>
          </w14:textFill>
        </w:rPr>
        <w:t>。第三联合厂房研发平台项目共分两期建设，一期工程于2022年完成了竣工验收，二期工程建设还未开工。云内动力股份有限公司已于2022年9月委托昭通鼎安科技有限公司对研发平台项目进行安全验收工作。第三联合厂房验收工作由本项目进行。</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凡涉及本项目的职业病及防治、环保、消防、地质灾害评估问题，不在本次评价范围之内。但评价报告中会涉及到相关内容，企业应执行国家相关法律、法规、标准和规范要求。</w:t>
      </w:r>
    </w:p>
    <w:p>
      <w:pPr>
        <w:pStyle w:val="4"/>
        <w:keepNext w:val="0"/>
        <w:keepLines w:val="0"/>
        <w:snapToGrid w:val="0"/>
        <w:spacing w:before="0" w:after="0" w:line="360" w:lineRule="auto"/>
        <w:jc w:val="left"/>
        <w:rPr>
          <w:rFonts w:ascii="宋体" w:hAnsi="宋体" w:cs="宋体"/>
          <w:snapToGrid/>
          <w:kern w:val="2"/>
        </w:rPr>
      </w:pPr>
      <w:bookmarkStart w:id="146" w:name="_Toc2660"/>
      <w:r>
        <w:rPr>
          <w:rFonts w:ascii="宋体" w:hAnsi="宋体" w:cs="宋体"/>
          <w:snapToGrid/>
          <w:kern w:val="2"/>
        </w:rPr>
        <w:t>1.5</w:t>
      </w:r>
      <w:r>
        <w:rPr>
          <w:rFonts w:hint="eastAsia" w:ascii="宋体" w:hAnsi="宋体" w:cs="宋体"/>
          <w:snapToGrid/>
          <w:kern w:val="2"/>
        </w:rPr>
        <w:t xml:space="preserve"> 评价程序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根据《安全评价通则》（AQ8001-2007）、《安全验收评价导则》（AQ8003-2007）的要求，安全验收评价程序分为：前期准备；危险、有害因素辨识；划分评价单元；选择评价方法，定性、定量评价；提出安全风险管理对策措施及建议；做出安全验收评价结论；编制安全验收评价报告等。</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1.前期准备：明确评价对象，备齐有关安全评价所需的设备、工具，收集国内外相关法律法规、标准、规章、规范等资料。</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2.辨识与分析危险、有害因素：根据评价对象的具体情况，辨识和分析危险、有害因素，确定其存在的部位、方式，以及发生作用的途径和变化规律。</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3.划分评价单元：为便于实施评价，将评价项目划分为多个相对独立且具有明显的特征界限的单元。</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4.定性、定量评价：根据评价单元的特性，选择合理的评价方法，对评价对象发生事故的可能性及其严重程度进行定性、定量评价。</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5.提出对策措施建议：依据危险、有害因素辨识结果与定性、定量评价结果，遵循针对性、技术可行性、经济合理性的原则，提出消除或减弱危险、危害的技术和管理对策措施建议。</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6.做出评价结论：根据客观、公正、真实的原则，严谨、明确的做出安全评价结论。</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安全验收评价程序如图1-1所示。</w:t>
      </w:r>
    </w:p>
    <w:p>
      <w:pPr>
        <w:pStyle w:val="21"/>
        <w:spacing w:line="500" w:lineRule="exact"/>
        <w:ind w:firstLine="560" w:firstLineChars="200"/>
        <w:jc w:val="both"/>
        <w:rPr>
          <w:rFonts w:ascii="宋体" w:hAnsi="宋体" w:cs="宋体"/>
          <w:sz w:val="28"/>
          <w:szCs w:val="28"/>
        </w:rPr>
      </w:pPr>
    </w:p>
    <w:p>
      <w:pPr>
        <w:adjustRightInd w:val="0"/>
        <w:snapToGrid w:val="0"/>
        <w:spacing w:line="360" w:lineRule="auto"/>
        <w:jc w:val="center"/>
        <w:rPr>
          <w:sz w:val="24"/>
        </w:rPr>
      </w:pPr>
      <w:r>
        <mc:AlternateContent>
          <mc:Choice Requires="wpg">
            <w:drawing>
              <wp:inline distT="0" distB="0" distL="114300" distR="114300">
                <wp:extent cx="2057400" cy="5151120"/>
                <wp:effectExtent l="4445" t="4445" r="14605" b="6985"/>
                <wp:docPr id="18" name="组合 84"/>
                <wp:cNvGraphicFramePr/>
                <a:graphic xmlns:a="http://schemas.openxmlformats.org/drawingml/2006/main">
                  <a:graphicData uri="http://schemas.microsoft.com/office/word/2010/wordprocessingGroup">
                    <wpg:wgp>
                      <wpg:cNvGrpSpPr/>
                      <wpg:grpSpPr>
                        <a:xfrm>
                          <a:off x="0" y="0"/>
                          <a:ext cx="2057400" cy="5151120"/>
                          <a:chOff x="3960" y="4560"/>
                          <a:chExt cx="3240" cy="8112"/>
                        </a:xfrm>
                        <a:effectLst/>
                      </wpg:grpSpPr>
                      <wps:wsp>
                        <wps:cNvPr id="1" name="矩形 85"/>
                        <wps:cNvSpPr/>
                        <wps:spPr>
                          <a:xfrm>
                            <a:off x="3960" y="4560"/>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前期准备</w:t>
                              </w:r>
                            </w:p>
                          </w:txbxContent>
                        </wps:txbx>
                        <wps:bodyPr upright="1"/>
                      </wps:wsp>
                      <wps:wsp>
                        <wps:cNvPr id="2" name="矩形 86"/>
                        <wps:cNvSpPr/>
                        <wps:spPr>
                          <a:xfrm>
                            <a:off x="3960" y="6744"/>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划分评价单元</w:t>
                              </w:r>
                            </w:p>
                          </w:txbxContent>
                        </wps:txbx>
                        <wps:bodyPr upright="1"/>
                      </wps:wsp>
                      <wps:wsp>
                        <wps:cNvPr id="3" name="矩形 87"/>
                        <wps:cNvSpPr/>
                        <wps:spPr>
                          <a:xfrm>
                            <a:off x="3960" y="5652"/>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辨识与分析危险、有害因素</w:t>
                              </w:r>
                            </w:p>
                          </w:txbxContent>
                        </wps:txbx>
                        <wps:bodyPr upright="1"/>
                      </wps:wsp>
                      <wps:wsp>
                        <wps:cNvPr id="4" name="矩形 88"/>
                        <wps:cNvSpPr/>
                        <wps:spPr>
                          <a:xfrm>
                            <a:off x="3960" y="7836"/>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选择评价方法</w:t>
                              </w:r>
                            </w:p>
                          </w:txbxContent>
                        </wps:txbx>
                        <wps:bodyPr upright="1"/>
                      </wps:wsp>
                      <wps:wsp>
                        <wps:cNvPr id="5" name="直线 89"/>
                        <wps:cNvCnPr/>
                        <wps:spPr>
                          <a:xfrm>
                            <a:off x="5580" y="5028"/>
                            <a:ext cx="0" cy="624"/>
                          </a:xfrm>
                          <a:prstGeom prst="line">
                            <a:avLst/>
                          </a:prstGeom>
                          <a:ln w="9525" cap="flat" cmpd="sng">
                            <a:solidFill>
                              <a:srgbClr val="000000"/>
                            </a:solidFill>
                            <a:prstDash val="solid"/>
                            <a:headEnd type="none" w="med" len="med"/>
                            <a:tailEnd type="triangle" w="med" len="med"/>
                          </a:ln>
                          <a:effectLst/>
                        </wps:spPr>
                        <wps:bodyPr upright="1"/>
                      </wps:wsp>
                      <wps:wsp>
                        <wps:cNvPr id="6" name="直线 90"/>
                        <wps:cNvCnPr/>
                        <wps:spPr>
                          <a:xfrm>
                            <a:off x="5580" y="6120"/>
                            <a:ext cx="0" cy="624"/>
                          </a:xfrm>
                          <a:prstGeom prst="line">
                            <a:avLst/>
                          </a:prstGeom>
                          <a:ln w="9525" cap="flat" cmpd="sng">
                            <a:solidFill>
                              <a:srgbClr val="000000"/>
                            </a:solidFill>
                            <a:prstDash val="solid"/>
                            <a:headEnd type="none" w="med" len="med"/>
                            <a:tailEnd type="triangle" w="med" len="med"/>
                          </a:ln>
                          <a:effectLst/>
                        </wps:spPr>
                        <wps:bodyPr upright="1"/>
                      </wps:wsp>
                      <wps:wsp>
                        <wps:cNvPr id="7" name="直线 91"/>
                        <wps:cNvCnPr/>
                        <wps:spPr>
                          <a:xfrm>
                            <a:off x="5580" y="7212"/>
                            <a:ext cx="0" cy="624"/>
                          </a:xfrm>
                          <a:prstGeom prst="line">
                            <a:avLst/>
                          </a:prstGeom>
                          <a:ln w="9525" cap="flat" cmpd="sng">
                            <a:solidFill>
                              <a:srgbClr val="000000"/>
                            </a:solidFill>
                            <a:prstDash val="solid"/>
                            <a:headEnd type="none" w="med" len="med"/>
                            <a:tailEnd type="triangle" w="med" len="med"/>
                          </a:ln>
                          <a:effectLst/>
                        </wps:spPr>
                        <wps:bodyPr upright="1"/>
                      </wps:wsp>
                      <wps:wsp>
                        <wps:cNvPr id="9" name="矩形 92"/>
                        <wps:cNvSpPr/>
                        <wps:spPr>
                          <a:xfrm>
                            <a:off x="3960" y="8928"/>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定性、定量分析</w:t>
                              </w:r>
                            </w:p>
                          </w:txbxContent>
                        </wps:txbx>
                        <wps:bodyPr upright="1"/>
                      </wps:wsp>
                      <wps:wsp>
                        <wps:cNvPr id="10" name="直线 93"/>
                        <wps:cNvCnPr/>
                        <wps:spPr>
                          <a:xfrm>
                            <a:off x="5580" y="9396"/>
                            <a:ext cx="0" cy="624"/>
                          </a:xfrm>
                          <a:prstGeom prst="line">
                            <a:avLst/>
                          </a:prstGeom>
                          <a:ln w="9525" cap="flat" cmpd="sng">
                            <a:solidFill>
                              <a:srgbClr val="000000"/>
                            </a:solidFill>
                            <a:prstDash val="solid"/>
                            <a:headEnd type="none" w="med" len="med"/>
                            <a:tailEnd type="triangle" w="med" len="med"/>
                          </a:ln>
                          <a:effectLst/>
                        </wps:spPr>
                        <wps:bodyPr upright="1"/>
                      </wps:wsp>
                      <wps:wsp>
                        <wps:cNvPr id="11" name="直线 94"/>
                        <wps:cNvCnPr/>
                        <wps:spPr>
                          <a:xfrm>
                            <a:off x="5580" y="8304"/>
                            <a:ext cx="0" cy="624"/>
                          </a:xfrm>
                          <a:prstGeom prst="line">
                            <a:avLst/>
                          </a:prstGeom>
                          <a:ln w="9525" cap="flat" cmpd="sng">
                            <a:solidFill>
                              <a:srgbClr val="000000"/>
                            </a:solidFill>
                            <a:prstDash val="solid"/>
                            <a:headEnd type="none" w="med" len="med"/>
                            <a:tailEnd type="triangle" w="med" len="med"/>
                          </a:ln>
                          <a:effectLst/>
                        </wps:spPr>
                        <wps:bodyPr upright="1"/>
                      </wps:wsp>
                      <wps:wsp>
                        <wps:cNvPr id="12" name="矩形 95"/>
                        <wps:cNvSpPr/>
                        <wps:spPr>
                          <a:xfrm>
                            <a:off x="3960" y="10020"/>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提出安全对策措施建议</w:t>
                              </w:r>
                            </w:p>
                          </w:txbxContent>
                        </wps:txbx>
                        <wps:bodyPr upright="1"/>
                      </wps:wsp>
                      <wps:wsp>
                        <wps:cNvPr id="13" name="直线 96"/>
                        <wps:cNvCnPr/>
                        <wps:spPr>
                          <a:xfrm>
                            <a:off x="5580" y="10488"/>
                            <a:ext cx="0" cy="624"/>
                          </a:xfrm>
                          <a:prstGeom prst="line">
                            <a:avLst/>
                          </a:prstGeom>
                          <a:ln w="9525" cap="flat" cmpd="sng">
                            <a:solidFill>
                              <a:srgbClr val="000000"/>
                            </a:solidFill>
                            <a:prstDash val="solid"/>
                            <a:headEnd type="none" w="med" len="med"/>
                            <a:tailEnd type="triangle" w="med" len="med"/>
                          </a:ln>
                          <a:effectLst/>
                        </wps:spPr>
                        <wps:bodyPr upright="1"/>
                      </wps:wsp>
                      <wps:wsp>
                        <wps:cNvPr id="14" name="矩形 97"/>
                        <wps:cNvSpPr/>
                        <wps:spPr>
                          <a:xfrm>
                            <a:off x="3960" y="11112"/>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做出评价结论</w:t>
                              </w:r>
                            </w:p>
                          </w:txbxContent>
                        </wps:txbx>
                        <wps:bodyPr upright="1"/>
                      </wps:wsp>
                      <wps:wsp>
                        <wps:cNvPr id="16" name="直线 98"/>
                        <wps:cNvCnPr/>
                        <wps:spPr>
                          <a:xfrm>
                            <a:off x="5580" y="11580"/>
                            <a:ext cx="0" cy="624"/>
                          </a:xfrm>
                          <a:prstGeom prst="line">
                            <a:avLst/>
                          </a:prstGeom>
                          <a:ln w="9525" cap="flat" cmpd="sng">
                            <a:solidFill>
                              <a:srgbClr val="000000"/>
                            </a:solidFill>
                            <a:prstDash val="solid"/>
                            <a:headEnd type="none" w="med" len="med"/>
                            <a:tailEnd type="triangle" w="med" len="med"/>
                          </a:ln>
                          <a:effectLst/>
                        </wps:spPr>
                        <wps:bodyPr upright="1"/>
                      </wps:wsp>
                      <wps:wsp>
                        <wps:cNvPr id="17" name="矩形 99"/>
                        <wps:cNvSpPr/>
                        <wps:spPr>
                          <a:xfrm>
                            <a:off x="3960" y="12204"/>
                            <a:ext cx="32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编制安全验收评价报告</w:t>
                              </w:r>
                            </w:p>
                          </w:txbxContent>
                        </wps:txbx>
                        <wps:bodyPr upright="1"/>
                      </wps:wsp>
                    </wpg:wgp>
                  </a:graphicData>
                </a:graphic>
              </wp:inline>
            </w:drawing>
          </mc:Choice>
          <mc:Fallback>
            <w:pict>
              <v:group id="组合 84" o:spid="_x0000_s1026" o:spt="203" style="height:405.6pt;width:162pt;" coordorigin="3960,4560" coordsize="3240,8112" o:gfxdata="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kcRfadUAAAAFAQAADwAAAAAAAAABACAAAAAiAAAAZHJzL2Rvd25yZXYu&#10;eG1sUEsBAhQAFAAAAAgAh07iQJWmu4j/AwAAeSQAAA4AAAAAAAAAAQAgAAAAJAEAAGRycy9lMm9E&#10;b2MueG1sUEsFBgAAAAAGAAYAWQEAAJUHAAAAAA==&#10;">
                <o:lock v:ext="edit" aspectratio="f"/>
                <v:rect id="矩形 85" o:spid="_x0000_s1026" o:spt="1" style="position:absolute;left:3960;top:4560;height:468;width:3240;"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pPr>
                        <w:r>
                          <w:rPr>
                            <w:rFonts w:hint="eastAsia"/>
                          </w:rPr>
                          <w:t>前期准备</w:t>
                        </w:r>
                      </w:p>
                    </w:txbxContent>
                  </v:textbox>
                </v:rect>
                <v:rect id="矩形 86" o:spid="_x0000_s1026" o:spt="1" style="position:absolute;left:3960;top:6744;height:468;width:3240;"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划分评价单元</w:t>
                        </w:r>
                      </w:p>
                    </w:txbxContent>
                  </v:textbox>
                </v:rect>
                <v:rect id="矩形 87" o:spid="_x0000_s1026" o:spt="1" style="position:absolute;left:3960;top:5652;height:468;width:324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辨识与分析危险、有害因素</w:t>
                        </w:r>
                      </w:p>
                    </w:txbxContent>
                  </v:textbox>
                </v:rect>
                <v:rect id="矩形 88" o:spid="_x0000_s1026" o:spt="1" style="position:absolute;left:3960;top:7836;height:468;width:324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选择评价方法</w:t>
                        </w:r>
                      </w:p>
                    </w:txbxContent>
                  </v:textbox>
                </v:rect>
                <v:line id="直线 89" o:spid="_x0000_s1026" o:spt="20" style="position:absolute;left:5580;top:5028;height:624;width: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90" o:spid="_x0000_s1026" o:spt="20" style="position:absolute;left:5580;top:6120;height:624;width:0;" filled="f" stroked="t"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91" o:spid="_x0000_s1026" o:spt="20" style="position:absolute;left:5580;top:7212;height:624;width: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92" o:spid="_x0000_s1026" o:spt="1" style="position:absolute;left:3960;top:8928;height:468;width:3240;"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定性、定量分析</w:t>
                        </w:r>
                      </w:p>
                    </w:txbxContent>
                  </v:textbox>
                </v:rect>
                <v:line id="直线 93" o:spid="_x0000_s1026" o:spt="20" style="position:absolute;left:5580;top:9396;height:624;width:0;"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4" o:spid="_x0000_s1026" o:spt="20" style="position:absolute;left:5580;top:8304;height:624;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95" o:spid="_x0000_s1026" o:spt="1" style="position:absolute;left:3960;top:10020;height:468;width:324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提出安全对策措施建议</w:t>
                        </w:r>
                      </w:p>
                    </w:txbxContent>
                  </v:textbox>
                </v:rect>
                <v:line id="直线 96" o:spid="_x0000_s1026" o:spt="20" style="position:absolute;left:5580;top:10488;height:624;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97" o:spid="_x0000_s1026" o:spt="1" style="position:absolute;left:3960;top:11112;height:468;width:3240;"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做出评价结论</w:t>
                        </w:r>
                      </w:p>
                    </w:txbxContent>
                  </v:textbox>
                </v:rect>
                <v:line id="直线 98" o:spid="_x0000_s1026" o:spt="20" style="position:absolute;left:5580;top:11580;height:624;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99" o:spid="_x0000_s1026" o:spt="1" style="position:absolute;left:3960;top:12204;height:468;width:324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编制安全验收评价报告</w:t>
                        </w:r>
                      </w:p>
                    </w:txbxContent>
                  </v:textbox>
                </v:rect>
                <w10:wrap type="none"/>
                <w10:anchorlock/>
              </v:group>
            </w:pict>
          </mc:Fallback>
        </mc:AlternateContent>
      </w:r>
    </w:p>
    <w:p>
      <w:pPr>
        <w:adjustRightInd w:val="0"/>
        <w:snapToGrid w:val="0"/>
        <w:spacing w:line="360" w:lineRule="auto"/>
        <w:jc w:val="center"/>
        <w:rPr>
          <w:bCs/>
          <w:sz w:val="24"/>
        </w:rPr>
      </w:pPr>
      <w:r>
        <w:rPr>
          <w:rFonts w:hint="eastAsia"/>
          <w:bCs/>
          <w:sz w:val="24"/>
        </w:rPr>
        <w:t>图1-1 安全验收评价工作流程图</w:t>
      </w:r>
    </w:p>
    <w:p>
      <w:pPr>
        <w:pStyle w:val="4"/>
        <w:keepNext w:val="0"/>
        <w:keepLines w:val="0"/>
        <w:snapToGrid w:val="0"/>
        <w:spacing w:before="0" w:after="0" w:line="360" w:lineRule="auto"/>
        <w:jc w:val="left"/>
        <w:rPr>
          <w:rFonts w:ascii="宋体" w:hAnsi="宋体" w:cs="宋体"/>
          <w:snapToGrid/>
          <w:kern w:val="2"/>
        </w:rPr>
      </w:pPr>
      <w:bookmarkStart w:id="147" w:name="_Toc5580"/>
      <w:bookmarkStart w:id="148" w:name="_Toc17345"/>
      <w:r>
        <w:rPr>
          <w:rFonts w:ascii="宋体" w:hAnsi="宋体" w:cs="宋体"/>
          <w:snapToGrid/>
          <w:kern w:val="2"/>
        </w:rPr>
        <w:t>1.6</w:t>
      </w:r>
      <w:r>
        <w:rPr>
          <w:rFonts w:hint="eastAsia" w:ascii="宋体" w:hAnsi="宋体" w:cs="宋体"/>
          <w:snapToGrid/>
          <w:kern w:val="2"/>
          <w:lang w:val="en-US" w:eastAsia="zh-CN"/>
        </w:rPr>
        <w:t xml:space="preserve"> </w:t>
      </w:r>
      <w:r>
        <w:rPr>
          <w:rFonts w:hint="eastAsia" w:ascii="宋体" w:hAnsi="宋体" w:cs="宋体"/>
          <w:snapToGrid/>
          <w:kern w:val="2"/>
        </w:rPr>
        <w:t>评价基准日</w:t>
      </w:r>
      <w:bookmarkEnd w:id="147"/>
      <w:bookmarkEnd w:id="148"/>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本次安全验收评价的基准日为2022年10月27日。</w:t>
      </w:r>
    </w:p>
    <w:p>
      <w:pPr>
        <w:pStyle w:val="4"/>
        <w:keepNext w:val="0"/>
        <w:keepLines w:val="0"/>
        <w:snapToGrid w:val="0"/>
        <w:spacing w:before="0" w:after="0" w:line="360" w:lineRule="auto"/>
        <w:jc w:val="left"/>
        <w:rPr>
          <w:rFonts w:ascii="宋体" w:hAnsi="宋体" w:cs="宋体"/>
          <w:snapToGrid/>
          <w:kern w:val="2"/>
        </w:rPr>
      </w:pPr>
      <w:bookmarkStart w:id="149" w:name="_Toc21212"/>
      <w:bookmarkStart w:id="150" w:name="_Toc31305"/>
      <w:r>
        <w:rPr>
          <w:rFonts w:ascii="宋体" w:hAnsi="宋体" w:cs="宋体"/>
          <w:snapToGrid/>
          <w:kern w:val="2"/>
        </w:rPr>
        <w:t>1.7</w:t>
      </w:r>
      <w:r>
        <w:rPr>
          <w:rFonts w:hint="eastAsia" w:ascii="宋体" w:hAnsi="宋体" w:cs="宋体"/>
          <w:snapToGrid/>
          <w:kern w:val="2"/>
          <w:lang w:val="en-US" w:eastAsia="zh-CN"/>
        </w:rPr>
        <w:t xml:space="preserve"> </w:t>
      </w:r>
      <w:r>
        <w:rPr>
          <w:rFonts w:hint="eastAsia" w:ascii="宋体" w:hAnsi="宋体" w:cs="宋体"/>
          <w:snapToGrid/>
          <w:kern w:val="2"/>
        </w:rPr>
        <w:t>评价报告使用权</w:t>
      </w:r>
      <w:bookmarkEnd w:id="149"/>
      <w:bookmarkEnd w:id="150"/>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本评价报告受昆明云内动力股份有限公司委托编制，仅供委托方使用。除按规定上报各级应急管理部门外，昭通市鼎安科技有限公司不会将本评价报告的内容向其它单位和个人提供，也不会将本评价报告的全部或部份内容，在媒体上或以其它形式公开发表（安全评价技术研究成果除外）。</w:t>
      </w:r>
    </w:p>
    <w:p>
      <w:pPr>
        <w:rPr>
          <w:rFonts w:ascii="宋体" w:hAnsi="宋体" w:cs="宋体"/>
          <w:b/>
          <w:bCs/>
          <w:kern w:val="44"/>
          <w:sz w:val="36"/>
          <w:szCs w:val="36"/>
        </w:rPr>
      </w:pPr>
      <w:r>
        <w:rPr>
          <w:rFonts w:hint="eastAsia" w:ascii="宋体" w:hAnsi="宋体" w:cs="宋体"/>
          <w:b/>
          <w:bCs/>
          <w:kern w:val="44"/>
          <w:sz w:val="36"/>
          <w:szCs w:val="36"/>
        </w:rPr>
        <w:br w:type="page"/>
      </w:r>
    </w:p>
    <w:p>
      <w:pPr>
        <w:snapToGrid w:val="0"/>
        <w:spacing w:line="360" w:lineRule="auto"/>
        <w:jc w:val="center"/>
        <w:outlineLvl w:val="0"/>
        <w:rPr>
          <w:rFonts w:ascii="宋体" w:hAnsi="宋体" w:cs="宋体"/>
          <w:sz w:val="36"/>
          <w:szCs w:val="36"/>
        </w:rPr>
      </w:pPr>
      <w:r>
        <w:rPr>
          <w:rFonts w:hint="eastAsia" w:ascii="宋体" w:hAnsi="宋体" w:cs="宋体"/>
          <w:b/>
          <w:bCs/>
          <w:kern w:val="44"/>
          <w:sz w:val="36"/>
          <w:szCs w:val="36"/>
        </w:rPr>
        <w:t>2 建设项目概况</w:t>
      </w:r>
    </w:p>
    <w:p>
      <w:pPr>
        <w:pStyle w:val="4"/>
        <w:keepNext w:val="0"/>
        <w:keepLines w:val="0"/>
        <w:snapToGrid w:val="0"/>
        <w:spacing w:before="0" w:after="0" w:line="360" w:lineRule="auto"/>
        <w:jc w:val="left"/>
        <w:rPr>
          <w:rFonts w:ascii="宋体" w:hAnsi="宋体" w:cs="宋体"/>
          <w:snapToGrid/>
          <w:kern w:val="2"/>
        </w:rPr>
      </w:pPr>
      <w:bookmarkStart w:id="151" w:name="_Toc16036"/>
      <w:r>
        <w:rPr>
          <w:rFonts w:hint="eastAsia" w:ascii="宋体" w:hAnsi="宋体" w:cs="宋体"/>
          <w:snapToGrid/>
          <w:kern w:val="2"/>
        </w:rPr>
        <w:t>2.1</w:t>
      </w:r>
      <w:r>
        <w:rPr>
          <w:rFonts w:hint="eastAsia" w:ascii="宋体" w:hAnsi="宋体" w:cs="宋体"/>
          <w:snapToGrid/>
          <w:kern w:val="2"/>
          <w:lang w:val="en-US" w:eastAsia="zh-CN"/>
        </w:rPr>
        <w:t xml:space="preserve"> </w:t>
      </w:r>
      <w:r>
        <w:rPr>
          <w:rFonts w:hint="eastAsia" w:ascii="宋体" w:hAnsi="宋体" w:cs="宋体"/>
          <w:snapToGrid/>
          <w:kern w:val="2"/>
        </w:rPr>
        <w:t>建设单位概况</w:t>
      </w:r>
      <w:bookmarkEnd w:id="151"/>
    </w:p>
    <w:p>
      <w:pPr>
        <w:pStyle w:val="21"/>
        <w:snapToGrid w:val="0"/>
        <w:spacing w:line="360" w:lineRule="auto"/>
        <w:ind w:firstLine="560" w:firstLineChars="200"/>
        <w:jc w:val="both"/>
        <w:rPr>
          <w:rFonts w:ascii="宋体" w:hAnsi="宋体" w:cs="宋体"/>
          <w:sz w:val="28"/>
          <w:szCs w:val="28"/>
        </w:rPr>
      </w:pPr>
      <w:bookmarkStart w:id="152" w:name="_Toc204424748"/>
      <w:r>
        <w:rPr>
          <w:rFonts w:hint="eastAsia" w:ascii="宋体" w:hAnsi="宋体" w:cs="宋体"/>
          <w:sz w:val="28"/>
          <w:szCs w:val="28"/>
        </w:rPr>
        <w:t>企业名称：昆明云内动力股份有限公司</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类型：股份有限公司（上市、国有控股）</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注册地址：中国（云南）自由贸易试验区昆明片区经开区经景路66号</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法定代表人：杨波</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注册资本：壹拾玖亿柒仟零捌拾万零捌佰伍拾柒元整</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成立日期：1999年03月08日</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营业期限：1999年03月08日至长期</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经营范围：柴油机及机组，柴油发电机组；柴油机系列及其变形机组及零部件，汽车配件，农机配件，科研所需原辅材料，汽车配件，农机配件，电子产品，配套设备，控制设备，检测设备，仪器，仪表，工具，模具及相关技术、特种油类（经营范围中设计专项审批的按许可证经营），出口本企业自产柴油机系列及其变形产品、变形机组及零配件、汽车配件、农机配件；进口本企业生产、科研所需原辅材料、电子产品、配套产品、控制设备、仪器仪表及相关技术。（依法需经批准的项目，经相关部门批准后方可开展经营活动）。</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昆明云内动力股份有限公司成立于1999年，是由云南内燃机厂作为独家发起人，以社会募集方式设立的股份制上市公司，迄今已有近六十年从事柴油机开发生产的历史。公司是中国内燃机行业排头兵企业，国家第二批创新型试点企业及云南省首批创新型企业、高新技术企业，国家发改委认定的“国家级企业技术中心”、“国家乘用车柴油机高新技术产业化基地骨干企业”、“国家火炬计划重点高新技术企业”和“国际科技合作基地”，荣获全国“五一”劳动奖状和“全国先进基层党组织”称号。</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云内动力是目前国内最大的多缸小缸径柴油发动机生产企业之一，开发和生产能力居中国同行业前茅。公司主导产品在国内同行业中处于领先地位，“90、95、100、102”系列商用车柴油机具有优良的动力性、经济性和可靠性，各项性能指标处于国内同类产品的领先水平。具有自主知识产权和国际先进水平的绿色节能环保型D系列电控高压共轨柴油机，先后与国内多家乘用车企业的SUV、MPV和轿车等车型配套。其中在中国内燃机100年成就展上，云内动力D19TCI柴油机作为第四代内燃机参与展出，获得中国内燃机百年成就展。公司产品品种齐全，配套范围广泛，目前配套产品有装载机、叉车、挖掘机和收割机等，已成为首家产品跨乘用车、商用车及非道路机械领域的柴油机生产企业。</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云内动力在做大、做强、做精柴油机产品的同时，公司领导高瞻远瞩，提出“一花独放不是春，百花齐放春满园”，利用公司强大的内燃机研发能力和技术储备，研发试制了满足国六排放的G系列节能环保轻型商用车汽油机，主要配套皮卡和轻卡。经检测，各项指标符合设计要求。</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G系列节能环保轻型商用车汽油机是专为适用于轻型商用车的动力需求研发，在配套皮卡方面，G系列节能环保轻型商用车汽油机具有最小区域220g/kW</w:t>
      </w:r>
      <w:r>
        <w:rPr>
          <w:rFonts w:hint="eastAsia" w:ascii="微软雅黑" w:hAnsi="微软雅黑" w:eastAsia="微软雅黑" w:cs="微软雅黑"/>
          <w:sz w:val="28"/>
          <w:szCs w:val="28"/>
        </w:rPr>
        <w:t>·</w:t>
      </w:r>
      <w:r>
        <w:rPr>
          <w:rFonts w:hint="eastAsia" w:ascii="宋体" w:hAnsi="宋体" w:cs="宋体"/>
          <w:sz w:val="28"/>
          <w:szCs w:val="28"/>
        </w:rPr>
        <w:t>h区域领先市面所有机型；宽广的240g/kW</w:t>
      </w:r>
      <w:r>
        <w:rPr>
          <w:rFonts w:hint="eastAsia" w:ascii="微软雅黑" w:hAnsi="微软雅黑" w:eastAsia="微软雅黑" w:cs="微软雅黑"/>
          <w:sz w:val="28"/>
          <w:szCs w:val="28"/>
        </w:rPr>
        <w:t>·</w:t>
      </w:r>
      <w:r>
        <w:rPr>
          <w:rFonts w:hint="eastAsia" w:ascii="宋体" w:hAnsi="宋体" w:cs="宋体"/>
          <w:sz w:val="28"/>
          <w:szCs w:val="28"/>
        </w:rPr>
        <w:t>h区域，超出三菱2.4T及2.0T汽油机280g/kW</w:t>
      </w:r>
      <w:r>
        <w:rPr>
          <w:rFonts w:hint="eastAsia" w:ascii="微软雅黑" w:hAnsi="微软雅黑" w:eastAsia="微软雅黑" w:cs="微软雅黑"/>
          <w:sz w:val="28"/>
          <w:szCs w:val="28"/>
        </w:rPr>
        <w:t>·</w:t>
      </w:r>
      <w:r>
        <w:rPr>
          <w:rFonts w:hint="eastAsia" w:ascii="宋体" w:hAnsi="宋体" w:cs="宋体"/>
          <w:sz w:val="28"/>
          <w:szCs w:val="28"/>
        </w:rPr>
        <w:t>h区域；中高负荷区域的油耗远优于其他主流汽油机型的优势。在配套轻卡方面，G20轻卡汽油机Map油耗优异，最小区域230g/kW</w:t>
      </w:r>
      <w:r>
        <w:rPr>
          <w:rFonts w:hint="eastAsia" w:ascii="微软雅黑" w:hAnsi="微软雅黑" w:eastAsia="微软雅黑" w:cs="微软雅黑"/>
          <w:sz w:val="28"/>
          <w:szCs w:val="28"/>
        </w:rPr>
        <w:t>·</w:t>
      </w:r>
      <w:r>
        <w:rPr>
          <w:rFonts w:hint="eastAsia" w:ascii="宋体" w:hAnsi="宋体" w:cs="宋体"/>
          <w:sz w:val="28"/>
          <w:szCs w:val="28"/>
        </w:rPr>
        <w:t>h区域领先市面所有机型；宽广的240g/kW</w:t>
      </w:r>
      <w:r>
        <w:rPr>
          <w:rFonts w:hint="eastAsia" w:ascii="微软雅黑" w:hAnsi="微软雅黑" w:eastAsia="微软雅黑" w:cs="微软雅黑"/>
          <w:sz w:val="28"/>
          <w:szCs w:val="28"/>
        </w:rPr>
        <w:t>·</w:t>
      </w:r>
      <w:r>
        <w:rPr>
          <w:rFonts w:hint="eastAsia" w:ascii="宋体" w:hAnsi="宋体" w:cs="宋体"/>
          <w:sz w:val="28"/>
          <w:szCs w:val="28"/>
        </w:rPr>
        <w:t>h区域，与市面轻卡汽油机270g/kW</w:t>
      </w:r>
      <w:r>
        <w:rPr>
          <w:rFonts w:hint="eastAsia" w:ascii="微软雅黑" w:hAnsi="微软雅黑" w:eastAsia="微软雅黑" w:cs="微软雅黑"/>
          <w:sz w:val="28"/>
          <w:szCs w:val="28"/>
        </w:rPr>
        <w:t>·</w:t>
      </w:r>
      <w:r>
        <w:rPr>
          <w:rFonts w:hint="eastAsia" w:ascii="宋体" w:hAnsi="宋体" w:cs="宋体"/>
          <w:sz w:val="28"/>
          <w:szCs w:val="28"/>
        </w:rPr>
        <w:t>h区域等效；商用车常用的高负荷区域远优于市面主流汽油机的优势。</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公司在国内外设立了25个驻外机构、50余家配件代理商以及1600余个售后服务网点，覆盖区域广阔，为用户提供准时、优质的服务。公司还与数十家国内汽车厂建立了长期、稳定的批量配套关系，产品整机出口或随整车出口欧洲、南美、非洲、东南亚等国家及地区。2012年12月，昆明云内动力股份有限公司整体搬迁至昆明经济技术开发区，新建厂区占地900余亩，并通过引进国外先进铸造、机加工、装配等关键设备及软件开发、试验测试装备，建成了国内领先的商柴、乘柴研发及生产平台，成为了国内国四、国五及欧Ⅴ多缸小缸径先进柴油发动机的重要研发制造基地，在行业内具有较强的竞争实力。目前，具备年产商用车柴油机40万台、乘用车柴油机20万台、非道路柴油机30万台的生产能力。</w:t>
      </w:r>
    </w:p>
    <w:p>
      <w:pPr>
        <w:pStyle w:val="4"/>
        <w:keepNext w:val="0"/>
        <w:keepLines w:val="0"/>
        <w:snapToGrid w:val="0"/>
        <w:spacing w:before="0" w:after="0" w:line="360" w:lineRule="auto"/>
        <w:jc w:val="left"/>
        <w:rPr>
          <w:rFonts w:ascii="宋体" w:hAnsi="宋体" w:cs="宋体"/>
          <w:snapToGrid/>
          <w:kern w:val="2"/>
        </w:rPr>
      </w:pPr>
      <w:bookmarkStart w:id="153" w:name="_Toc4087"/>
      <w:bookmarkStart w:id="154" w:name="_Toc25666"/>
      <w:bookmarkStart w:id="155" w:name="_Toc7916"/>
      <w:bookmarkStart w:id="156" w:name="_Toc115120612"/>
      <w:bookmarkStart w:id="157" w:name="_Toc115120218"/>
      <w:r>
        <w:rPr>
          <w:rFonts w:hint="eastAsia" w:ascii="宋体" w:hAnsi="宋体" w:cs="宋体"/>
          <w:snapToGrid/>
          <w:kern w:val="2"/>
        </w:rPr>
        <w:t>2.2</w:t>
      </w:r>
      <w:r>
        <w:rPr>
          <w:rFonts w:hint="eastAsia" w:ascii="宋体" w:hAnsi="宋体" w:cs="宋体"/>
          <w:snapToGrid/>
          <w:kern w:val="2"/>
          <w:lang w:val="en-US" w:eastAsia="zh-CN"/>
        </w:rPr>
        <w:t xml:space="preserve"> </w:t>
      </w:r>
      <w:r>
        <w:rPr>
          <w:rFonts w:hint="eastAsia" w:ascii="宋体" w:hAnsi="宋体" w:cs="宋体"/>
          <w:snapToGrid/>
          <w:kern w:val="2"/>
        </w:rPr>
        <w:t>建设项目</w:t>
      </w:r>
      <w:r>
        <w:rPr>
          <w:rFonts w:hint="eastAsia" w:ascii="宋体" w:hAnsi="宋体" w:cs="宋体"/>
          <w:snapToGrid/>
          <w:kern w:val="2"/>
          <w:lang w:val="en-US" w:eastAsia="zh-CN"/>
        </w:rPr>
        <w:t>基本</w:t>
      </w:r>
      <w:r>
        <w:rPr>
          <w:rFonts w:hint="eastAsia" w:ascii="宋体" w:hAnsi="宋体" w:cs="宋体"/>
          <w:snapToGrid/>
          <w:kern w:val="2"/>
        </w:rPr>
        <w:t>概况</w:t>
      </w:r>
      <w:bookmarkEnd w:id="153"/>
      <w:bookmarkEnd w:id="154"/>
    </w:p>
    <w:p>
      <w:pPr>
        <w:pStyle w:val="5"/>
        <w:keepNext w:val="0"/>
        <w:keepLines w:val="0"/>
        <w:snapToGrid w:val="0"/>
        <w:spacing w:before="0" w:after="0" w:line="360" w:lineRule="auto"/>
        <w:jc w:val="left"/>
        <w:rPr>
          <w:rFonts w:ascii="宋体" w:hAnsi="宋体" w:cs="宋体"/>
          <w:sz w:val="28"/>
          <w:szCs w:val="28"/>
        </w:rPr>
      </w:pPr>
      <w:bookmarkStart w:id="158" w:name="_Toc16300"/>
      <w:bookmarkStart w:id="159" w:name="_Toc32302"/>
      <w:r>
        <w:rPr>
          <w:rFonts w:hint="eastAsia" w:ascii="宋体" w:hAnsi="宋体" w:cs="宋体"/>
          <w:sz w:val="28"/>
          <w:szCs w:val="28"/>
        </w:rPr>
        <w:t>2.2.1</w:t>
      </w:r>
      <w:bookmarkEnd w:id="158"/>
      <w:r>
        <w:rPr>
          <w:rFonts w:hint="eastAsia" w:ascii="宋体" w:hAnsi="宋体" w:cs="宋体"/>
          <w:sz w:val="28"/>
          <w:szCs w:val="28"/>
        </w:rPr>
        <w:t>项目基本情况</w:t>
      </w:r>
      <w:bookmarkEnd w:id="159"/>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项目名称：G系列节能环保轻型商用车汽油机产业化建设项目</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项目建设单位：昆明云内动力股份有限公司</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建设性质：产能新建，项目位于昆明经济技术开发区羊甫片区云内动力工业园内地，属昆明云内动力股份有限公司（以下简称云内动力）自有建设用地，项目不新征土地。厂区总平面布局及道路维持现状。</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建设地点：云南省昆明市昆明经济技术开发区经济景路66号昆明云内动力股份有限公司内。</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建设规模：</w:t>
      </w:r>
      <w:r>
        <w:rPr>
          <w:rFonts w:hint="eastAsia" w:ascii="宋体" w:hAnsi="宋体" w:cs="宋体"/>
          <w:sz w:val="28"/>
          <w:szCs w:val="28"/>
          <w:lang w:val="en-GB"/>
        </w:rPr>
        <w:t>在园区现有土地上新建第三联合厂房，建设G系列节能环保轻型商用车汽油机产品的缸体缸盖机加工生产线及装试生产线，</w:t>
      </w:r>
      <w:r>
        <w:rPr>
          <w:rFonts w:hint="eastAsia" w:ascii="宋体" w:hAnsi="宋体" w:cs="宋体"/>
          <w:sz w:val="28"/>
          <w:szCs w:val="28"/>
        </w:rPr>
        <w:t>新增建筑面积61152㎡。</w:t>
      </w:r>
    </w:p>
    <w:p>
      <w:pPr>
        <w:pStyle w:val="21"/>
        <w:snapToGrid w:val="0"/>
        <w:spacing w:line="360" w:lineRule="auto"/>
        <w:ind w:firstLine="560" w:firstLineChars="200"/>
        <w:jc w:val="both"/>
        <w:rPr>
          <w:rFonts w:ascii="宋体" w:hAnsi="宋体" w:cs="宋体"/>
          <w:sz w:val="28"/>
          <w:szCs w:val="28"/>
        </w:rPr>
      </w:pPr>
      <w:r>
        <w:rPr>
          <w:rFonts w:hint="eastAsia" w:ascii="宋体" w:hAnsi="宋体" w:cs="宋体"/>
          <w:sz w:val="28"/>
          <w:szCs w:val="28"/>
        </w:rPr>
        <w:t>项目总投资：54900.00万元。</w:t>
      </w:r>
    </w:p>
    <w:p>
      <w:pPr>
        <w:pStyle w:val="5"/>
        <w:keepNext w:val="0"/>
        <w:keepLines w:val="0"/>
        <w:snapToGrid w:val="0"/>
        <w:spacing w:before="0" w:after="0" w:line="360" w:lineRule="auto"/>
        <w:jc w:val="left"/>
        <w:rPr>
          <w:rFonts w:ascii="宋体" w:hAnsi="宋体" w:cs="宋体"/>
          <w:sz w:val="28"/>
          <w:szCs w:val="28"/>
        </w:rPr>
      </w:pPr>
      <w:bookmarkStart w:id="160" w:name="_Toc13118"/>
      <w:bookmarkStart w:id="161" w:name="_Toc27749"/>
      <w:r>
        <w:rPr>
          <w:rFonts w:hint="eastAsia" w:ascii="宋体" w:hAnsi="宋体" w:cs="宋体"/>
          <w:sz w:val="28"/>
          <w:szCs w:val="28"/>
        </w:rPr>
        <w:t>2.2.2</w:t>
      </w:r>
      <w:bookmarkEnd w:id="160"/>
      <w:r>
        <w:rPr>
          <w:rFonts w:hint="eastAsia" w:ascii="宋体" w:hAnsi="宋体" w:cs="宋体"/>
          <w:sz w:val="28"/>
          <w:szCs w:val="28"/>
        </w:rPr>
        <w:t>项目建设内容</w:t>
      </w:r>
      <w:bookmarkEnd w:id="161"/>
    </w:p>
    <w:p>
      <w:pPr>
        <w:pStyle w:val="21"/>
        <w:snapToGrid w:val="0"/>
        <w:spacing w:line="360" w:lineRule="auto"/>
        <w:ind w:firstLine="560" w:firstLineChars="200"/>
        <w:jc w:val="both"/>
        <w:rPr>
          <w:rFonts w:ascii="宋体" w:hAnsi="宋体" w:cs="宋体"/>
          <w:sz w:val="28"/>
          <w:szCs w:val="28"/>
        </w:rPr>
      </w:pPr>
      <w:bookmarkStart w:id="162" w:name="_Toc3845"/>
      <w:r>
        <w:rPr>
          <w:rFonts w:hint="eastAsia" w:ascii="宋体" w:hAnsi="宋体" w:cs="宋体"/>
          <w:sz w:val="28"/>
          <w:szCs w:val="28"/>
        </w:rPr>
        <w:t>本项目新增第三联合厂房，增加G系列汽油机缸体柔性生产线、G系列汽油机缸盖柔性生产线各一条，G系列节能环保轻型商用车汽油机缸体、缸盖机加工生产线规划产能为各10万件/年。新增一条装试生产线，完成G系列节能环保轻型商用车汽油机的分装、总装、热试、后装、成品包装。并增加一条后装生产线，承担年产10万台G系列节能环保轻型商用车汽油机的后装生产任务。</w:t>
      </w:r>
    </w:p>
    <w:p>
      <w:pPr>
        <w:pStyle w:val="21"/>
        <w:snapToGrid w:val="0"/>
        <w:spacing w:line="360" w:lineRule="auto"/>
        <w:ind w:firstLine="560" w:firstLineChars="200"/>
        <w:jc w:val="both"/>
        <w:rPr>
          <w:rFonts w:hint="default" w:ascii="宋体" w:hAnsi="宋体" w:eastAsia="宋体" w:cs="宋体"/>
          <w:sz w:val="28"/>
          <w:szCs w:val="28"/>
          <w:lang w:val="en-US" w:eastAsia="zh-CN"/>
        </w:rPr>
      </w:pPr>
      <w:r>
        <w:rPr>
          <w:rFonts w:hint="eastAsia" w:ascii="宋体" w:hAnsi="宋体" w:cs="宋体"/>
          <w:sz w:val="28"/>
          <w:szCs w:val="28"/>
        </w:rPr>
        <w:t>本项目原辅材料主要为配件、缸体、缸盖铸造所需材料、汽油、油漆、压缩空气等，其中铸造所需材料从昆明市购买后直接进入云内动力原有的铸工车间、配件采购后直接进入原有物流中心。汽油由厂区原有的油库供给，压缩空气为新建压缩空气站供给。</w:t>
      </w:r>
      <w:r>
        <w:rPr>
          <w:rFonts w:hint="eastAsia" w:ascii="宋体" w:hAnsi="宋体" w:cs="宋体"/>
          <w:sz w:val="28"/>
          <w:szCs w:val="28"/>
          <w:lang w:val="en-US" w:eastAsia="zh-CN"/>
        </w:rPr>
        <w:t>本项目</w:t>
      </w:r>
      <w:r>
        <w:rPr>
          <w:rFonts w:hint="eastAsia" w:ascii="宋体" w:hAnsi="宋体" w:cs="宋体"/>
          <w:color w:val="000000" w:themeColor="text1"/>
          <w:sz w:val="28"/>
          <w:szCs w:val="28"/>
          <w14:textFill>
            <w14:solidFill>
              <w14:schemeClr w14:val="tx1"/>
            </w14:solidFill>
          </w14:textFill>
        </w:rPr>
        <w:t>装置区的运输采用自动引导小车</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引导小车充电桩共 2个，分别在第三联合厂房准备工段和机加工线旁沿墙设置。</w:t>
      </w:r>
    </w:p>
    <w:p>
      <w:pPr>
        <w:snapToGrid w:val="0"/>
        <w:spacing w:line="360" w:lineRule="auto"/>
        <w:ind w:firstLine="482"/>
        <w:rPr>
          <w:rFonts w:ascii="宋体" w:hAnsi="宋体" w:cs="宋体"/>
          <w:sz w:val="28"/>
          <w:szCs w:val="28"/>
        </w:rPr>
      </w:pPr>
      <w:r>
        <w:rPr>
          <w:rFonts w:hint="eastAsia" w:ascii="宋体" w:hAnsi="宋体" w:cs="宋体"/>
          <w:sz w:val="28"/>
          <w:szCs w:val="28"/>
        </w:rPr>
        <w:t>项目不新征土地，</w:t>
      </w:r>
      <w:r>
        <w:rPr>
          <w:rFonts w:hint="eastAsia" w:ascii="宋体" w:hAnsi="宋体" w:cs="宋体"/>
          <w:sz w:val="28"/>
          <w:szCs w:val="28"/>
          <w:lang w:val="en-GB"/>
        </w:rPr>
        <w:t>新建第三联合</w:t>
      </w:r>
      <w:r>
        <w:rPr>
          <w:rFonts w:hint="eastAsia" w:ascii="宋体" w:hAnsi="宋体" w:cs="宋体"/>
          <w:sz w:val="28"/>
          <w:szCs w:val="28"/>
        </w:rPr>
        <w:t>厂房。工程实施后，全厂的铸造、机加工和总装的生产能力增加，劳动定员不增加。</w:t>
      </w:r>
    </w:p>
    <w:p>
      <w:pPr>
        <w:snapToGrid w:val="0"/>
        <w:spacing w:line="360" w:lineRule="auto"/>
        <w:ind w:firstLine="482"/>
        <w:rPr>
          <w:rFonts w:ascii="宋体" w:hAnsi="宋体" w:cs="宋体"/>
          <w:sz w:val="28"/>
          <w:szCs w:val="28"/>
        </w:rPr>
      </w:pPr>
      <w:r>
        <w:rPr>
          <w:rFonts w:hint="eastAsia" w:ascii="宋体" w:hAnsi="宋体" w:cs="宋体"/>
          <w:sz w:val="28"/>
          <w:szCs w:val="28"/>
        </w:rPr>
        <w:t>本项目主要建设内容见表2-1。</w:t>
      </w:r>
    </w:p>
    <w:p>
      <w:pPr>
        <w:tabs>
          <w:tab w:val="left" w:pos="960"/>
        </w:tabs>
        <w:adjustRightInd w:val="0"/>
        <w:snapToGrid w:val="0"/>
        <w:spacing w:line="440" w:lineRule="exact"/>
        <w:jc w:val="center"/>
        <w:rPr>
          <w:rFonts w:ascii="宋体" w:hAnsi="宋体"/>
          <w:bCs/>
          <w:sz w:val="24"/>
        </w:rPr>
      </w:pPr>
      <w:r>
        <w:rPr>
          <w:rFonts w:hint="eastAsia" w:ascii="宋体" w:hAnsi="宋体"/>
          <w:bCs/>
          <w:sz w:val="24"/>
        </w:rPr>
        <w:t>表2-1主要建设内容一览表</w:t>
      </w:r>
    </w:p>
    <w:tbl>
      <w:tblPr>
        <w:tblStyle w:val="52"/>
        <w:tblW w:w="52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720"/>
        <w:gridCol w:w="1099"/>
        <w:gridCol w:w="6352"/>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531" w:type="pct"/>
            <w:noWrap/>
            <w:vAlign w:val="center"/>
          </w:tcPr>
          <w:p>
            <w:pPr>
              <w:pStyle w:val="64"/>
              <w:spacing w:line="32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项目组成</w:t>
            </w:r>
          </w:p>
        </w:tc>
        <w:tc>
          <w:tcPr>
            <w:tcW w:w="922" w:type="pct"/>
            <w:gridSpan w:val="2"/>
            <w:noWrap/>
            <w:vAlign w:val="center"/>
          </w:tcPr>
          <w:p>
            <w:pPr>
              <w:pStyle w:val="64"/>
              <w:spacing w:line="32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工程类别</w:t>
            </w:r>
          </w:p>
        </w:tc>
        <w:tc>
          <w:tcPr>
            <w:tcW w:w="3219" w:type="pct"/>
            <w:noWrap/>
            <w:vAlign w:val="center"/>
          </w:tcPr>
          <w:p>
            <w:pPr>
              <w:pStyle w:val="64"/>
              <w:spacing w:line="32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主要建设内容</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b/>
                <w:kern w:val="0"/>
                <w:szCs w:val="21"/>
              </w:rPr>
            </w:pPr>
            <w:r>
              <w:rPr>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531" w:type="pct"/>
            <w:vMerge w:val="restar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rFonts w:hint="eastAsia"/>
                <w:kern w:val="0"/>
                <w:szCs w:val="21"/>
              </w:rPr>
              <w:t>第三联合厂房</w:t>
            </w:r>
          </w:p>
        </w:tc>
        <w:tc>
          <w:tcPr>
            <w:tcW w:w="365" w:type="pct"/>
            <w:vMerge w:val="restar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机加工生产车间</w:t>
            </w:r>
          </w:p>
        </w:tc>
        <w:tc>
          <w:tcPr>
            <w:tcW w:w="556"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缸体线</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szCs w:val="21"/>
              </w:rPr>
            </w:pPr>
            <w:r>
              <w:rPr>
                <w:kern w:val="0"/>
                <w:szCs w:val="21"/>
              </w:rPr>
              <w:t>主要包括高速卧式加工中心和部分专机以及辅助生产设备组成汽油机缸体柔性加工生产线；包括毛坯上线及粗加工工序、精加工工序、机器人自动修毛刺系统、切屑及切削液集中处理系统及水雾处理系统、主轴承孔加工、缸孔加工、清洗工序、设置SPC站（零件的检测）、物料叉车转运。</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pct"/>
            <w:vMerge w:val="continue"/>
            <w:noWrap/>
            <w:vAlign w:val="center"/>
          </w:tcPr>
          <w:p>
            <w:pPr>
              <w:pStyle w:val="154"/>
              <w:tabs>
                <w:tab w:val="left" w:pos="540"/>
                <w:tab w:val="left" w:pos="851"/>
                <w:tab w:val="left" w:pos="994"/>
                <w:tab w:val="left" w:pos="1260"/>
                <w:tab w:val="left" w:pos="3108"/>
                <w:tab w:val="left" w:pos="3150"/>
              </w:tabs>
              <w:spacing w:line="320" w:lineRule="exact"/>
              <w:rPr>
                <w:kern w:val="0"/>
                <w:szCs w:val="21"/>
              </w:rPr>
            </w:pPr>
          </w:p>
        </w:tc>
        <w:tc>
          <w:tcPr>
            <w:tcW w:w="365" w:type="pct"/>
            <w:vMerge w:val="continue"/>
            <w:noWrap/>
            <w:vAlign w:val="center"/>
          </w:tcPr>
          <w:p>
            <w:pPr>
              <w:pStyle w:val="154"/>
              <w:tabs>
                <w:tab w:val="left" w:pos="540"/>
                <w:tab w:val="left" w:pos="851"/>
                <w:tab w:val="left" w:pos="994"/>
                <w:tab w:val="left" w:pos="1260"/>
                <w:tab w:val="left" w:pos="3108"/>
                <w:tab w:val="left" w:pos="3150"/>
              </w:tabs>
              <w:spacing w:line="320" w:lineRule="exact"/>
              <w:rPr>
                <w:kern w:val="0"/>
                <w:szCs w:val="21"/>
              </w:rPr>
            </w:pPr>
          </w:p>
        </w:tc>
        <w:tc>
          <w:tcPr>
            <w:tcW w:w="556"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缸盖线</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kern w:val="0"/>
                <w:szCs w:val="21"/>
              </w:rPr>
              <w:t>主要包括高速卧式加工中心和部分专机以及辅助生产设备组成汽油机缸盖柔性加工生产线；</w:t>
            </w:r>
          </w:p>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kern w:val="0"/>
                <w:szCs w:val="21"/>
              </w:rPr>
              <w:t>包括毛坯上线及粗加工工序、精加工工序、机器人自动修毛刺系统、切屑及切削液集中处理系统、气缸盖进、排气阀锥面及导管内孔的加工工序、清洗工序、零件的检测工序、物料叉车转运。</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531" w:type="pct"/>
            <w:vMerge w:val="restar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rFonts w:hint="eastAsia"/>
                <w:kern w:val="0"/>
                <w:szCs w:val="21"/>
              </w:rPr>
              <w:t>第三联合厂房</w:t>
            </w:r>
          </w:p>
        </w:tc>
        <w:tc>
          <w:tcPr>
            <w:tcW w:w="365" w:type="pct"/>
            <w:vMerge w:val="restar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装配生产车间</w:t>
            </w:r>
          </w:p>
        </w:tc>
        <w:tc>
          <w:tcPr>
            <w:tcW w:w="556"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装试线</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kern w:val="0"/>
                <w:szCs w:val="21"/>
              </w:rPr>
              <w:t>包括汽油机分装、总装、热试、后装、成品包装。</w:t>
            </w:r>
          </w:p>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kern w:val="0"/>
                <w:szCs w:val="21"/>
              </w:rPr>
              <w:t>集中布置的中小件分装区、线旁活塞连杆分装装线、缸盖分装线、总装线、总装离线返修区、试车准备区、热试台架、热试返修区、后装悬链、成品包装板式链；缸盖分装线布置在机加工区域。</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31" w:type="pct"/>
            <w:vMerge w:val="continue"/>
            <w:noWrap/>
            <w:vAlign w:val="center"/>
          </w:tcPr>
          <w:p>
            <w:pPr>
              <w:pStyle w:val="154"/>
              <w:tabs>
                <w:tab w:val="left" w:pos="540"/>
                <w:tab w:val="left" w:pos="851"/>
                <w:tab w:val="left" w:pos="994"/>
                <w:tab w:val="left" w:pos="1260"/>
                <w:tab w:val="left" w:pos="3108"/>
                <w:tab w:val="left" w:pos="3150"/>
              </w:tabs>
              <w:spacing w:line="320" w:lineRule="exact"/>
              <w:rPr>
                <w:kern w:val="0"/>
                <w:szCs w:val="21"/>
              </w:rPr>
            </w:pPr>
          </w:p>
        </w:tc>
        <w:tc>
          <w:tcPr>
            <w:tcW w:w="365" w:type="pct"/>
            <w:vMerge w:val="continue"/>
            <w:noWrap/>
            <w:vAlign w:val="center"/>
          </w:tcPr>
          <w:p>
            <w:pPr>
              <w:pStyle w:val="154"/>
              <w:tabs>
                <w:tab w:val="left" w:pos="540"/>
                <w:tab w:val="left" w:pos="851"/>
                <w:tab w:val="left" w:pos="994"/>
                <w:tab w:val="left" w:pos="1260"/>
                <w:tab w:val="left" w:pos="3108"/>
                <w:tab w:val="left" w:pos="3150"/>
              </w:tabs>
              <w:spacing w:line="320" w:lineRule="exact"/>
              <w:rPr>
                <w:kern w:val="0"/>
                <w:szCs w:val="21"/>
              </w:rPr>
            </w:pPr>
          </w:p>
        </w:tc>
        <w:tc>
          <w:tcPr>
            <w:tcW w:w="556"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后装线</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kern w:val="0"/>
                <w:szCs w:val="21"/>
              </w:rPr>
              <w:t>试车后发动机放机油、外观清洗、补漆及试车后零件装配任务，中小件物料缓存区、大件区、变速箱装配预留区。</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31" w:type="pct"/>
            <w:vMerge w:val="continue"/>
            <w:noWrap/>
            <w:vAlign w:val="center"/>
          </w:tcPr>
          <w:p>
            <w:pPr>
              <w:pStyle w:val="154"/>
              <w:tabs>
                <w:tab w:val="left" w:pos="540"/>
                <w:tab w:val="left" w:pos="851"/>
                <w:tab w:val="left" w:pos="994"/>
                <w:tab w:val="left" w:pos="1260"/>
                <w:tab w:val="left" w:pos="3108"/>
                <w:tab w:val="left" w:pos="3150"/>
              </w:tabs>
              <w:spacing w:line="320" w:lineRule="exact"/>
              <w:rPr>
                <w:kern w:val="0"/>
                <w:szCs w:val="21"/>
              </w:rPr>
            </w:pPr>
          </w:p>
        </w:tc>
        <w:tc>
          <w:tcPr>
            <w:tcW w:w="365" w:type="pct"/>
            <w:vMerge w:val="restar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仓库</w:t>
            </w:r>
          </w:p>
        </w:tc>
        <w:tc>
          <w:tcPr>
            <w:tcW w:w="556"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成品库</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rFonts w:hint="eastAsia"/>
                <w:kern w:val="0"/>
                <w:szCs w:val="21"/>
              </w:rPr>
              <w:t>建设</w:t>
            </w:r>
            <w:r>
              <w:rPr>
                <w:kern w:val="0"/>
                <w:szCs w:val="21"/>
              </w:rPr>
              <w:t>项目在厂房西南侧设置成品库，用于存储成品。</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31" w:type="pct"/>
            <w:vMerge w:val="continue"/>
            <w:noWrap/>
            <w:vAlign w:val="center"/>
          </w:tcPr>
          <w:p>
            <w:pPr>
              <w:pStyle w:val="154"/>
              <w:tabs>
                <w:tab w:val="left" w:pos="540"/>
                <w:tab w:val="left" w:pos="851"/>
                <w:tab w:val="left" w:pos="994"/>
                <w:tab w:val="left" w:pos="1260"/>
                <w:tab w:val="left" w:pos="3108"/>
                <w:tab w:val="left" w:pos="3150"/>
              </w:tabs>
              <w:spacing w:line="320" w:lineRule="exact"/>
              <w:rPr>
                <w:kern w:val="0"/>
                <w:szCs w:val="21"/>
              </w:rPr>
            </w:pPr>
          </w:p>
        </w:tc>
        <w:tc>
          <w:tcPr>
            <w:tcW w:w="365" w:type="pct"/>
            <w:vMerge w:val="continue"/>
            <w:noWrap/>
            <w:vAlign w:val="center"/>
          </w:tcPr>
          <w:p>
            <w:pPr>
              <w:pStyle w:val="154"/>
              <w:tabs>
                <w:tab w:val="left" w:pos="540"/>
                <w:tab w:val="left" w:pos="851"/>
                <w:tab w:val="left" w:pos="994"/>
                <w:tab w:val="left" w:pos="1260"/>
                <w:tab w:val="left" w:pos="3108"/>
                <w:tab w:val="left" w:pos="3150"/>
              </w:tabs>
              <w:spacing w:line="320" w:lineRule="exact"/>
              <w:rPr>
                <w:kern w:val="0"/>
                <w:szCs w:val="21"/>
              </w:rPr>
            </w:pPr>
          </w:p>
        </w:tc>
        <w:tc>
          <w:tcPr>
            <w:tcW w:w="556"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G20物料仓库</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rFonts w:hint="eastAsia"/>
                <w:kern w:val="0"/>
                <w:szCs w:val="21"/>
              </w:rPr>
              <w:t>建设</w:t>
            </w:r>
            <w:r>
              <w:rPr>
                <w:kern w:val="0"/>
                <w:szCs w:val="21"/>
              </w:rPr>
              <w:t>项目在厂房东南侧设置物料仓库，用于存储原料。</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pct"/>
            <w:vMerge w:val="restart"/>
            <w:noWrap/>
            <w:vAlign w:val="center"/>
          </w:tcPr>
          <w:p>
            <w:pPr>
              <w:pStyle w:val="64"/>
              <w:spacing w:line="320" w:lineRule="exact"/>
              <w:jc w:val="center"/>
              <w:rPr>
                <w:rFonts w:ascii="Times New Roman" w:hAnsi="Times New Roman" w:cs="Times New Roman"/>
                <w:b/>
                <w:bCs/>
                <w:color w:val="auto"/>
                <w:sz w:val="21"/>
                <w:szCs w:val="21"/>
              </w:rPr>
            </w:pPr>
            <w:r>
              <w:rPr>
                <w:rFonts w:hint="eastAsia" w:ascii="Times New Roman" w:hAnsi="Times New Roman" w:cs="Times New Roman"/>
                <w:color w:val="auto"/>
                <w:sz w:val="21"/>
                <w:szCs w:val="21"/>
              </w:rPr>
              <w:t>第三联合厂房（公辅工程）</w:t>
            </w:r>
          </w:p>
        </w:tc>
        <w:tc>
          <w:tcPr>
            <w:tcW w:w="922" w:type="pct"/>
            <w:gridSpan w:val="2"/>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办公用房</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szCs w:val="21"/>
              </w:rPr>
              <w:t>在厂区南部集中设置有办公楼（利旧），在厂房边缘夹层设置办公区域（新建），设置有班组园地。</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b/>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1" w:type="pct"/>
            <w:vMerge w:val="continue"/>
            <w:noWrap/>
            <w:vAlign w:val="center"/>
          </w:tcPr>
          <w:p>
            <w:pPr>
              <w:pStyle w:val="64"/>
              <w:spacing w:line="320" w:lineRule="exact"/>
              <w:jc w:val="center"/>
              <w:rPr>
                <w:rFonts w:ascii="Times New Roman" w:hAnsi="Times New Roman" w:cs="Times New Roman"/>
                <w:b/>
                <w:bCs/>
                <w:color w:val="auto"/>
                <w:sz w:val="21"/>
                <w:szCs w:val="21"/>
              </w:rPr>
            </w:pPr>
          </w:p>
        </w:tc>
        <w:tc>
          <w:tcPr>
            <w:tcW w:w="922" w:type="pct"/>
            <w:gridSpan w:val="2"/>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szCs w:val="21"/>
              </w:rPr>
              <w:t>食堂</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szCs w:val="21"/>
              </w:rPr>
              <w:t>企业在厂区内及厂区外生活区各设置有1个食堂，设置有洗手设施、洗碗设施、热饭设施，符合食品卫生要求。</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b/>
                <w:kern w:val="0"/>
                <w:szCs w:val="21"/>
              </w:rPr>
            </w:pPr>
            <w:r>
              <w:rPr>
                <w:kern w:val="0"/>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ign w:val="center"/>
          </w:tcPr>
          <w:p>
            <w:pPr>
              <w:pStyle w:val="64"/>
              <w:spacing w:line="320" w:lineRule="exact"/>
              <w:jc w:val="center"/>
              <w:rPr>
                <w:rFonts w:ascii="Times New Roman" w:hAnsi="Times New Roman" w:cs="Times New Roman"/>
                <w:b/>
                <w:bCs/>
                <w:color w:val="auto"/>
                <w:sz w:val="21"/>
                <w:szCs w:val="21"/>
              </w:rPr>
            </w:pPr>
          </w:p>
        </w:tc>
        <w:tc>
          <w:tcPr>
            <w:tcW w:w="922" w:type="pct"/>
            <w:gridSpan w:val="2"/>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卫生间</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rFonts w:hint="eastAsia"/>
                <w:kern w:val="0"/>
                <w:szCs w:val="21"/>
              </w:rPr>
              <w:t>建设</w:t>
            </w:r>
            <w:r>
              <w:rPr>
                <w:kern w:val="0"/>
                <w:szCs w:val="21"/>
              </w:rPr>
              <w:t>项目在厂房设置4个厕所，供员工使用。</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ign w:val="center"/>
          </w:tcPr>
          <w:p>
            <w:pPr>
              <w:pStyle w:val="64"/>
              <w:spacing w:line="320" w:lineRule="exact"/>
              <w:jc w:val="center"/>
              <w:rPr>
                <w:rFonts w:ascii="Times New Roman" w:hAnsi="Times New Roman" w:cs="Times New Roman"/>
                <w:b/>
                <w:bCs/>
                <w:color w:val="auto"/>
                <w:sz w:val="21"/>
                <w:szCs w:val="21"/>
              </w:rPr>
            </w:pPr>
          </w:p>
        </w:tc>
        <w:tc>
          <w:tcPr>
            <w:tcW w:w="922" w:type="pct"/>
            <w:gridSpan w:val="2"/>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供配电</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kern w:val="0"/>
                <w:szCs w:val="21"/>
              </w:rPr>
              <w:t>新建1</w:t>
            </w:r>
            <w:r>
              <w:rPr>
                <w:kern w:val="0"/>
                <w:szCs w:val="21"/>
                <w:vertAlign w:val="superscript"/>
              </w:rPr>
              <w:t>#</w:t>
            </w:r>
            <w:r>
              <w:rPr>
                <w:kern w:val="0"/>
                <w:szCs w:val="21"/>
              </w:rPr>
              <w:t>、2</w:t>
            </w:r>
            <w:r>
              <w:rPr>
                <w:kern w:val="0"/>
                <w:szCs w:val="21"/>
                <w:vertAlign w:val="superscript"/>
              </w:rPr>
              <w:t>#</w:t>
            </w:r>
            <w:r>
              <w:rPr>
                <w:kern w:val="0"/>
                <w:szCs w:val="21"/>
              </w:rPr>
              <w:t>配电室：由公司厂区内110/10kV降压站引来2路10kV电源。两路10kV电源经厂区电缆沟及埋地管道分别接入第三联合厂房东侧处的2个10/0.4 kV变电所。</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vMerge w:val="continue"/>
            <w:noWrap/>
            <w:vAlign w:val="center"/>
          </w:tcPr>
          <w:p>
            <w:pPr>
              <w:pStyle w:val="64"/>
              <w:spacing w:line="320" w:lineRule="exact"/>
              <w:jc w:val="center"/>
              <w:rPr>
                <w:rFonts w:ascii="Times New Roman" w:hAnsi="Times New Roman" w:cs="Times New Roman"/>
                <w:b/>
                <w:bCs/>
                <w:color w:val="auto"/>
                <w:sz w:val="21"/>
                <w:szCs w:val="21"/>
              </w:rPr>
            </w:pPr>
          </w:p>
        </w:tc>
        <w:tc>
          <w:tcPr>
            <w:tcW w:w="922" w:type="pct"/>
            <w:gridSpan w:val="2"/>
            <w:noWrap/>
            <w:vAlign w:val="center"/>
          </w:tcPr>
          <w:p>
            <w:pPr>
              <w:pStyle w:val="154"/>
              <w:tabs>
                <w:tab w:val="left" w:pos="540"/>
                <w:tab w:val="left" w:pos="851"/>
                <w:tab w:val="left" w:pos="994"/>
                <w:tab w:val="left" w:pos="1260"/>
                <w:tab w:val="left" w:pos="3108"/>
                <w:tab w:val="left" w:pos="3150"/>
              </w:tabs>
              <w:spacing w:line="320" w:lineRule="exact"/>
              <w:ind w:firstLine="420" w:firstLineChars="200"/>
              <w:jc w:val="left"/>
              <w:rPr>
                <w:kern w:val="0"/>
                <w:szCs w:val="21"/>
              </w:rPr>
            </w:pPr>
            <w:r>
              <w:rPr>
                <w:kern w:val="0"/>
                <w:szCs w:val="21"/>
              </w:rPr>
              <w:t>给水</w:t>
            </w:r>
          </w:p>
        </w:tc>
        <w:tc>
          <w:tcPr>
            <w:tcW w:w="3219" w:type="pct"/>
            <w:noWrap/>
            <w:vAlign w:val="center"/>
          </w:tcPr>
          <w:p>
            <w:pPr>
              <w:pStyle w:val="154"/>
              <w:tabs>
                <w:tab w:val="left" w:pos="540"/>
                <w:tab w:val="left" w:pos="851"/>
                <w:tab w:val="left" w:pos="994"/>
                <w:tab w:val="left" w:pos="1260"/>
                <w:tab w:val="left" w:pos="3108"/>
                <w:tab w:val="left" w:pos="3150"/>
              </w:tabs>
              <w:spacing w:line="320" w:lineRule="exact"/>
              <w:ind w:firstLine="218" w:firstLineChars="104"/>
              <w:jc w:val="both"/>
              <w:rPr>
                <w:kern w:val="0"/>
                <w:szCs w:val="21"/>
              </w:rPr>
            </w:pPr>
            <w:r>
              <w:rPr>
                <w:kern w:val="0"/>
                <w:szCs w:val="21"/>
              </w:rPr>
              <w:t>工厂给水水源采用市政自来水，由工厂周围的市政给水管网上引入，引入管处供水压力0.30MPa。</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rPr>
                <w:kern w:val="0"/>
                <w:szCs w:val="21"/>
              </w:rPr>
            </w:pPr>
            <w:r>
              <w:rPr>
                <w:rFonts w:hint="eastAsia"/>
                <w:kern w:val="0"/>
                <w:szCs w:val="21"/>
              </w:rPr>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jc w:val="center"/>
        </w:trPr>
        <w:tc>
          <w:tcPr>
            <w:tcW w:w="531" w:type="pct"/>
            <w:vMerge w:val="continue"/>
            <w:noWrap/>
            <w:vAlign w:val="center"/>
          </w:tcPr>
          <w:p>
            <w:pPr>
              <w:pStyle w:val="64"/>
              <w:spacing w:line="320" w:lineRule="exact"/>
              <w:jc w:val="center"/>
              <w:rPr>
                <w:rFonts w:ascii="Times New Roman" w:hAnsi="Times New Roman" w:cs="Times New Roman"/>
                <w:b/>
                <w:bCs/>
                <w:color w:val="auto"/>
                <w:sz w:val="21"/>
                <w:szCs w:val="21"/>
              </w:rPr>
            </w:pPr>
          </w:p>
        </w:tc>
        <w:tc>
          <w:tcPr>
            <w:tcW w:w="922" w:type="pct"/>
            <w:gridSpan w:val="2"/>
            <w:noWrap/>
            <w:vAlign w:val="center"/>
          </w:tcPr>
          <w:p>
            <w:pPr>
              <w:pStyle w:val="154"/>
              <w:tabs>
                <w:tab w:val="left" w:pos="540"/>
                <w:tab w:val="left" w:pos="851"/>
                <w:tab w:val="left" w:pos="994"/>
                <w:tab w:val="left" w:pos="1260"/>
                <w:tab w:val="left" w:pos="3108"/>
                <w:tab w:val="left" w:pos="3150"/>
              </w:tabs>
              <w:spacing w:line="320" w:lineRule="exact"/>
              <w:ind w:firstLine="420" w:firstLineChars="200"/>
              <w:jc w:val="left"/>
              <w:rPr>
                <w:kern w:val="0"/>
                <w:szCs w:val="21"/>
              </w:rPr>
            </w:pPr>
            <w:r>
              <w:rPr>
                <w:kern w:val="0"/>
                <w:szCs w:val="21"/>
              </w:rPr>
              <w:t>排水</w:t>
            </w:r>
          </w:p>
        </w:tc>
        <w:tc>
          <w:tcPr>
            <w:tcW w:w="3219" w:type="pct"/>
            <w:noWrap/>
          </w:tcPr>
          <w:p>
            <w:pPr>
              <w:pStyle w:val="154"/>
              <w:tabs>
                <w:tab w:val="left" w:pos="540"/>
                <w:tab w:val="left" w:pos="851"/>
                <w:tab w:val="left" w:pos="994"/>
                <w:tab w:val="left" w:pos="1260"/>
                <w:tab w:val="left" w:pos="3108"/>
                <w:tab w:val="left" w:pos="3150"/>
              </w:tabs>
              <w:spacing w:line="320" w:lineRule="exact"/>
              <w:ind w:firstLine="218" w:firstLineChars="104"/>
              <w:jc w:val="left"/>
              <w:rPr>
                <w:kern w:val="0"/>
                <w:szCs w:val="21"/>
              </w:rPr>
            </w:pPr>
            <w:r>
              <w:rPr>
                <w:kern w:val="0"/>
                <w:szCs w:val="21"/>
              </w:rPr>
              <w:t>厂区排放的污水为生活污水和生产废水。</w:t>
            </w:r>
          </w:p>
          <w:p>
            <w:pPr>
              <w:pStyle w:val="154"/>
              <w:tabs>
                <w:tab w:val="left" w:pos="540"/>
                <w:tab w:val="left" w:pos="851"/>
                <w:tab w:val="left" w:pos="994"/>
                <w:tab w:val="left" w:pos="1260"/>
                <w:tab w:val="left" w:pos="3108"/>
                <w:tab w:val="left" w:pos="3150"/>
              </w:tabs>
              <w:spacing w:line="320" w:lineRule="exact"/>
              <w:ind w:firstLine="218" w:firstLineChars="104"/>
              <w:jc w:val="left"/>
              <w:rPr>
                <w:kern w:val="0"/>
                <w:szCs w:val="21"/>
              </w:rPr>
            </w:pPr>
            <w:r>
              <w:rPr>
                <w:kern w:val="0"/>
                <w:szCs w:val="21"/>
              </w:rPr>
              <w:t>1）室内外排水为生产废水、生活污水、雨水分流制。</w:t>
            </w:r>
          </w:p>
          <w:p>
            <w:pPr>
              <w:pStyle w:val="154"/>
              <w:tabs>
                <w:tab w:val="left" w:pos="540"/>
                <w:tab w:val="left" w:pos="851"/>
                <w:tab w:val="left" w:pos="994"/>
                <w:tab w:val="left" w:pos="1260"/>
                <w:tab w:val="left" w:pos="3108"/>
                <w:tab w:val="left" w:pos="3150"/>
              </w:tabs>
              <w:spacing w:line="320" w:lineRule="exact"/>
              <w:ind w:firstLine="218" w:firstLineChars="104"/>
              <w:jc w:val="left"/>
              <w:rPr>
                <w:kern w:val="0"/>
                <w:szCs w:val="21"/>
              </w:rPr>
            </w:pPr>
            <w:r>
              <w:rPr>
                <w:kern w:val="0"/>
                <w:szCs w:val="21"/>
              </w:rPr>
              <w:t>2）车间雨水采用重力或虹吸排水系统，经统一收集后排入厂区雨水系统。</w:t>
            </w:r>
          </w:p>
          <w:p>
            <w:pPr>
              <w:pStyle w:val="154"/>
              <w:tabs>
                <w:tab w:val="left" w:pos="540"/>
                <w:tab w:val="left" w:pos="851"/>
                <w:tab w:val="left" w:pos="994"/>
                <w:tab w:val="left" w:pos="1260"/>
                <w:tab w:val="left" w:pos="3108"/>
                <w:tab w:val="left" w:pos="3150"/>
              </w:tabs>
              <w:spacing w:line="320" w:lineRule="exact"/>
              <w:ind w:firstLine="218" w:firstLineChars="104"/>
              <w:jc w:val="left"/>
              <w:rPr>
                <w:kern w:val="0"/>
                <w:szCs w:val="21"/>
              </w:rPr>
            </w:pPr>
            <w:r>
              <w:rPr>
                <w:kern w:val="0"/>
                <w:szCs w:val="21"/>
              </w:rPr>
              <w:t>3）生活污水经预处理后排入厂区污水处理站处理达标后排入厂区周边市政污水管网。</w:t>
            </w:r>
          </w:p>
          <w:p>
            <w:pPr>
              <w:pStyle w:val="154"/>
              <w:tabs>
                <w:tab w:val="left" w:pos="540"/>
                <w:tab w:val="left" w:pos="851"/>
                <w:tab w:val="left" w:pos="994"/>
                <w:tab w:val="left" w:pos="1260"/>
                <w:tab w:val="left" w:pos="3108"/>
                <w:tab w:val="left" w:pos="3150"/>
              </w:tabs>
              <w:spacing w:line="320" w:lineRule="exact"/>
              <w:ind w:firstLine="218" w:firstLineChars="104"/>
              <w:jc w:val="left"/>
              <w:rPr>
                <w:kern w:val="0"/>
                <w:szCs w:val="21"/>
              </w:rPr>
            </w:pPr>
            <w:r>
              <w:rPr>
                <w:kern w:val="0"/>
                <w:szCs w:val="21"/>
              </w:rPr>
              <w:t>4）厂房生产废水总量：Q=95.0m³/d，目前污水处理站生产废水的处理能力为7～10m³/h，能够满足本项目的生产废水处理能力，经厂污水处理站（利旧）处理达标后排入厂区周边市政污水管网。</w:t>
            </w:r>
          </w:p>
          <w:p>
            <w:pPr>
              <w:pStyle w:val="154"/>
              <w:tabs>
                <w:tab w:val="left" w:pos="540"/>
                <w:tab w:val="left" w:pos="851"/>
                <w:tab w:val="left" w:pos="994"/>
                <w:tab w:val="left" w:pos="1260"/>
                <w:tab w:val="left" w:pos="3108"/>
                <w:tab w:val="left" w:pos="3150"/>
              </w:tabs>
              <w:spacing w:line="320" w:lineRule="exact"/>
              <w:ind w:firstLine="218" w:firstLineChars="104"/>
              <w:jc w:val="left"/>
              <w:rPr>
                <w:kern w:val="0"/>
                <w:szCs w:val="21"/>
              </w:rPr>
            </w:pPr>
            <w:r>
              <w:rPr>
                <w:kern w:val="0"/>
                <w:szCs w:val="21"/>
              </w:rPr>
              <w:t>5）雨、污排水管采用地下直埋敷设于厂区绿化带。</w:t>
            </w:r>
          </w:p>
        </w:tc>
        <w:tc>
          <w:tcPr>
            <w:tcW w:w="327" w:type="pct"/>
            <w:noWrap/>
            <w:vAlign w:val="center"/>
          </w:tcPr>
          <w:p>
            <w:pPr>
              <w:pStyle w:val="154"/>
              <w:tabs>
                <w:tab w:val="left" w:pos="540"/>
                <w:tab w:val="left" w:pos="851"/>
                <w:tab w:val="left" w:pos="994"/>
                <w:tab w:val="left" w:pos="1260"/>
                <w:tab w:val="left" w:pos="3108"/>
                <w:tab w:val="left" w:pos="3150"/>
              </w:tabs>
              <w:spacing w:line="320" w:lineRule="exact"/>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5000" w:type="pct"/>
            <w:gridSpan w:val="5"/>
            <w:noWrap/>
            <w:vAlign w:val="center"/>
          </w:tcPr>
          <w:p>
            <w:pPr>
              <w:pStyle w:val="154"/>
              <w:tabs>
                <w:tab w:val="left" w:pos="540"/>
                <w:tab w:val="left" w:pos="851"/>
                <w:tab w:val="left" w:pos="994"/>
                <w:tab w:val="left" w:pos="1260"/>
                <w:tab w:val="left" w:pos="3108"/>
                <w:tab w:val="left" w:pos="3150"/>
              </w:tabs>
              <w:spacing w:line="320" w:lineRule="exact"/>
              <w:jc w:val="both"/>
              <w:rPr>
                <w:kern w:val="0"/>
                <w:szCs w:val="21"/>
              </w:rPr>
            </w:pPr>
            <w:r>
              <w:rPr>
                <w:rFonts w:hint="eastAsia"/>
                <w:kern w:val="0"/>
                <w:szCs w:val="21"/>
              </w:rPr>
              <w:t>注：1</w:t>
            </w:r>
            <w:r>
              <w:rPr>
                <w:kern w:val="0"/>
                <w:szCs w:val="21"/>
              </w:rPr>
              <w:t>新建管网</w:t>
            </w:r>
            <w:r>
              <w:rPr>
                <w:rFonts w:hint="eastAsia"/>
                <w:kern w:val="0"/>
                <w:szCs w:val="21"/>
              </w:rPr>
              <w:t>、</w:t>
            </w:r>
            <w:r>
              <w:rPr>
                <w:kern w:val="0"/>
                <w:szCs w:val="21"/>
              </w:rPr>
              <w:t>新建排水系统，污水处理已在其它项目进行评价，故本次不予评价。</w:t>
            </w:r>
          </w:p>
        </w:tc>
      </w:tr>
    </w:tbl>
    <w:p>
      <w:pPr>
        <w:pStyle w:val="16"/>
      </w:pPr>
    </w:p>
    <w:p>
      <w:pPr>
        <w:pStyle w:val="4"/>
        <w:keepNext w:val="0"/>
        <w:keepLines w:val="0"/>
        <w:snapToGrid w:val="0"/>
        <w:spacing w:before="0" w:after="0" w:line="360" w:lineRule="auto"/>
        <w:jc w:val="left"/>
        <w:rPr>
          <w:rFonts w:ascii="宋体" w:hAnsi="宋体" w:cs="宋体"/>
          <w:snapToGrid/>
          <w:kern w:val="2"/>
        </w:rPr>
      </w:pPr>
      <w:bookmarkStart w:id="163" w:name="_Toc6363"/>
      <w:r>
        <w:rPr>
          <w:rFonts w:hint="eastAsia" w:ascii="宋体" w:hAnsi="宋体" w:cs="宋体"/>
          <w:snapToGrid/>
          <w:kern w:val="2"/>
        </w:rPr>
        <w:t>2.3</w:t>
      </w:r>
      <w:r>
        <w:rPr>
          <w:rFonts w:hint="eastAsia" w:ascii="宋体" w:hAnsi="宋体" w:cs="宋体"/>
          <w:snapToGrid/>
          <w:kern w:val="2"/>
          <w:lang w:val="en-US" w:eastAsia="zh-CN"/>
        </w:rPr>
        <w:t xml:space="preserve"> </w:t>
      </w:r>
      <w:r>
        <w:rPr>
          <w:rFonts w:hint="eastAsia" w:ascii="宋体" w:hAnsi="宋体" w:cs="宋体"/>
          <w:snapToGrid/>
          <w:kern w:val="2"/>
        </w:rPr>
        <w:t>项目建设概况</w:t>
      </w:r>
      <w:bookmarkEnd w:id="162"/>
      <w:bookmarkEnd w:id="163"/>
    </w:p>
    <w:p>
      <w:pPr>
        <w:pStyle w:val="5"/>
        <w:keepNext w:val="0"/>
        <w:keepLines w:val="0"/>
        <w:snapToGrid w:val="0"/>
        <w:spacing w:before="0" w:after="0" w:line="360" w:lineRule="auto"/>
        <w:jc w:val="left"/>
        <w:rPr>
          <w:rFonts w:ascii="宋体" w:hAnsi="宋体" w:cs="宋体"/>
          <w:sz w:val="28"/>
          <w:szCs w:val="28"/>
        </w:rPr>
      </w:pPr>
      <w:bookmarkStart w:id="164" w:name="_Toc16493"/>
      <w:bookmarkStart w:id="165" w:name="_Toc2331"/>
      <w:r>
        <w:rPr>
          <w:rFonts w:hint="eastAsia" w:ascii="宋体" w:hAnsi="宋体" w:cs="宋体"/>
          <w:sz w:val="28"/>
          <w:szCs w:val="28"/>
        </w:rPr>
        <w:t>2.3.1项目建设历程</w:t>
      </w:r>
      <w:bookmarkEnd w:id="164"/>
      <w:bookmarkEnd w:id="165"/>
    </w:p>
    <w:p>
      <w:pPr>
        <w:snapToGrid w:val="0"/>
        <w:spacing w:line="360" w:lineRule="auto"/>
        <w:ind w:firstLine="482"/>
        <w:rPr>
          <w:rFonts w:ascii="宋体" w:hAnsi="宋体" w:cs="宋体"/>
          <w:b/>
          <w:bCs/>
          <w:sz w:val="28"/>
          <w:szCs w:val="28"/>
        </w:rPr>
      </w:pPr>
      <w:r>
        <w:rPr>
          <w:rFonts w:hint="eastAsia" w:ascii="宋体" w:hAnsi="宋体" w:cs="宋体"/>
          <w:b/>
          <w:bCs/>
          <w:sz w:val="28"/>
          <w:szCs w:val="28"/>
        </w:rPr>
        <w:t>一、项目立项</w:t>
      </w:r>
    </w:p>
    <w:p>
      <w:pPr>
        <w:snapToGrid w:val="0"/>
        <w:spacing w:line="360" w:lineRule="auto"/>
        <w:ind w:firstLine="482"/>
        <w:rPr>
          <w:rFonts w:ascii="宋体" w:hAnsi="宋体" w:cs="宋体"/>
          <w:sz w:val="28"/>
          <w:szCs w:val="28"/>
        </w:rPr>
      </w:pPr>
      <w:r>
        <w:rPr>
          <w:rFonts w:hint="eastAsia" w:ascii="宋体" w:hAnsi="宋体" w:cs="宋体"/>
          <w:sz w:val="28"/>
          <w:szCs w:val="28"/>
        </w:rPr>
        <w:t>该项目立项时间为2020年2月，获得昆明经济技术开发区经济发展局颁发的《投资项目备案证》，项目代码：2020-530131-36-03-022285。</w:t>
      </w:r>
    </w:p>
    <w:p>
      <w:pPr>
        <w:snapToGrid w:val="0"/>
        <w:spacing w:line="360" w:lineRule="auto"/>
        <w:ind w:firstLine="482"/>
        <w:rPr>
          <w:rFonts w:ascii="宋体" w:hAnsi="宋体" w:cs="宋体"/>
          <w:b/>
          <w:bCs/>
          <w:sz w:val="28"/>
          <w:szCs w:val="28"/>
        </w:rPr>
      </w:pPr>
      <w:r>
        <w:rPr>
          <w:rFonts w:hint="eastAsia" w:ascii="宋体" w:hAnsi="宋体" w:cs="宋体"/>
          <w:b/>
          <w:bCs/>
          <w:sz w:val="28"/>
          <w:szCs w:val="28"/>
        </w:rPr>
        <w:t>二、安全预评价</w:t>
      </w:r>
    </w:p>
    <w:p>
      <w:pPr>
        <w:snapToGrid w:val="0"/>
        <w:spacing w:line="360" w:lineRule="auto"/>
        <w:ind w:firstLine="482"/>
      </w:pPr>
      <w:r>
        <w:rPr>
          <w:rFonts w:hint="eastAsia" w:ascii="宋体" w:hAnsi="宋体" w:cs="宋体"/>
          <w:sz w:val="28"/>
          <w:szCs w:val="28"/>
        </w:rPr>
        <w:t>2020年6月，云南云天咨询有限公司编制完成了《昆明云内动力股份有限公司G系列节能环保轻型商用车汽油机产业化建设项目安全预评价报告》，经专家审查通过，安全预评价报告编制单位资质情况见表2-2，安全预评价报告封面、编制单位资质及专家审查意见见</w:t>
      </w:r>
      <w:r>
        <w:rPr>
          <w:rFonts w:hint="eastAsia" w:ascii="宋体" w:hAnsi="宋体" w:cs="宋体"/>
          <w:color w:val="000000" w:themeColor="text1"/>
          <w:sz w:val="28"/>
          <w:szCs w:val="28"/>
          <w14:textFill>
            <w14:solidFill>
              <w14:schemeClr w14:val="tx1"/>
            </w14:solidFill>
          </w14:textFill>
        </w:rPr>
        <w:t>附件三。</w:t>
      </w:r>
    </w:p>
    <w:p>
      <w:pPr>
        <w:tabs>
          <w:tab w:val="left" w:pos="960"/>
        </w:tabs>
        <w:adjustRightInd w:val="0"/>
        <w:snapToGrid w:val="0"/>
        <w:spacing w:line="360" w:lineRule="auto"/>
        <w:jc w:val="center"/>
        <w:rPr>
          <w:rFonts w:ascii="宋体" w:hAnsi="宋体"/>
          <w:bCs/>
          <w:sz w:val="24"/>
        </w:rPr>
      </w:pPr>
      <w:r>
        <w:rPr>
          <w:rFonts w:hint="eastAsia" w:ascii="宋体" w:hAnsi="宋体"/>
          <w:bCs/>
          <w:sz w:val="24"/>
        </w:rPr>
        <w:t>表2-2 安全预评价报告编制单位资质情况</w:t>
      </w:r>
    </w:p>
    <w:tbl>
      <w:tblPr>
        <w:tblStyle w:val="52"/>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8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8" w:type="dxa"/>
            <w:noWrap/>
            <w:vAlign w:val="center"/>
          </w:tcPr>
          <w:p>
            <w:pPr>
              <w:adjustRightInd w:val="0"/>
              <w:snapToGrid w:val="0"/>
              <w:jc w:val="center"/>
              <w:rPr>
                <w:rFonts w:ascii="宋体" w:hAnsi="宋体"/>
                <w:szCs w:val="21"/>
              </w:rPr>
            </w:pPr>
            <w:r>
              <w:rPr>
                <w:rFonts w:hint="eastAsia" w:ascii="宋体" w:hAnsi="宋体"/>
                <w:szCs w:val="21"/>
              </w:rPr>
              <w:t>单位名称</w:t>
            </w:r>
          </w:p>
        </w:tc>
        <w:tc>
          <w:tcPr>
            <w:tcW w:w="8011" w:type="dxa"/>
            <w:noWrap/>
            <w:vAlign w:val="center"/>
          </w:tcPr>
          <w:p>
            <w:pPr>
              <w:adjustRightInd w:val="0"/>
              <w:snapToGrid w:val="0"/>
              <w:jc w:val="left"/>
              <w:rPr>
                <w:rFonts w:ascii="宋体" w:hAnsi="宋体"/>
                <w:szCs w:val="21"/>
              </w:rPr>
            </w:pPr>
            <w:r>
              <w:rPr>
                <w:rFonts w:hint="eastAsia" w:ascii="宋体" w:hAnsi="宋体"/>
                <w:szCs w:val="21"/>
              </w:rPr>
              <w:t>云南云天咨询有限公司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8" w:type="dxa"/>
            <w:noWrap/>
            <w:vAlign w:val="center"/>
          </w:tcPr>
          <w:p>
            <w:pPr>
              <w:adjustRightInd w:val="0"/>
              <w:snapToGrid w:val="0"/>
              <w:jc w:val="center"/>
              <w:rPr>
                <w:rFonts w:ascii="宋体" w:hAnsi="宋体"/>
                <w:szCs w:val="21"/>
              </w:rPr>
            </w:pPr>
            <w:r>
              <w:rPr>
                <w:rFonts w:hint="eastAsia" w:ascii="宋体" w:hAnsi="宋体"/>
                <w:szCs w:val="21"/>
              </w:rPr>
              <w:t>证书类别</w:t>
            </w:r>
          </w:p>
        </w:tc>
        <w:tc>
          <w:tcPr>
            <w:tcW w:w="8011" w:type="dxa"/>
            <w:noWrap/>
            <w:vAlign w:val="center"/>
          </w:tcPr>
          <w:p>
            <w:pPr>
              <w:adjustRightInd w:val="0"/>
              <w:snapToGrid w:val="0"/>
              <w:jc w:val="left"/>
              <w:rPr>
                <w:rFonts w:ascii="宋体" w:hAnsi="宋体"/>
                <w:szCs w:val="21"/>
              </w:rPr>
            </w:pPr>
            <w:r>
              <w:rPr>
                <w:rFonts w:hint="eastAsia" w:ascii="宋体" w:hAnsi="宋体"/>
                <w:szCs w:val="21"/>
              </w:rPr>
              <w:t>安全评价机构资质证书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8" w:type="dxa"/>
            <w:noWrap/>
            <w:vAlign w:val="center"/>
          </w:tcPr>
          <w:p>
            <w:pPr>
              <w:adjustRightInd w:val="0"/>
              <w:snapToGrid w:val="0"/>
              <w:jc w:val="center"/>
              <w:rPr>
                <w:rFonts w:ascii="宋体" w:hAnsi="宋体"/>
                <w:szCs w:val="21"/>
              </w:rPr>
            </w:pPr>
            <w:r>
              <w:rPr>
                <w:rFonts w:hint="eastAsia" w:ascii="宋体" w:hAnsi="宋体"/>
                <w:szCs w:val="21"/>
              </w:rPr>
              <w:t>业务范围</w:t>
            </w:r>
          </w:p>
        </w:tc>
        <w:tc>
          <w:tcPr>
            <w:tcW w:w="8011" w:type="dxa"/>
            <w:noWrap/>
            <w:vAlign w:val="center"/>
          </w:tcPr>
          <w:p>
            <w:pPr>
              <w:adjustRightInd w:val="0"/>
              <w:snapToGrid w:val="0"/>
              <w:jc w:val="left"/>
              <w:rPr>
                <w:rFonts w:ascii="宋体" w:hAnsi="宋体"/>
                <w:szCs w:val="21"/>
              </w:rPr>
            </w:pPr>
            <w:r>
              <w:rPr>
                <w:rFonts w:hint="eastAsia" w:ascii="宋体" w:hAnsi="宋体"/>
                <w:szCs w:val="21"/>
              </w:rPr>
              <w:t>金属采矿选业，非金属采矿选业，其他矿采选业；石油加工业，化学原料、化学品及医药制造业；金属冶炼业。*****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8" w:type="dxa"/>
            <w:noWrap/>
            <w:vAlign w:val="center"/>
          </w:tcPr>
          <w:p>
            <w:pPr>
              <w:adjustRightInd w:val="0"/>
              <w:snapToGrid w:val="0"/>
              <w:jc w:val="center"/>
              <w:rPr>
                <w:rFonts w:ascii="宋体" w:hAnsi="宋体"/>
                <w:szCs w:val="21"/>
              </w:rPr>
            </w:pPr>
            <w:r>
              <w:rPr>
                <w:rFonts w:hint="eastAsia" w:ascii="宋体" w:hAnsi="宋体"/>
                <w:szCs w:val="21"/>
              </w:rPr>
              <w:t>证书编号</w:t>
            </w:r>
          </w:p>
        </w:tc>
        <w:tc>
          <w:tcPr>
            <w:tcW w:w="8011" w:type="dxa"/>
            <w:noWrap/>
            <w:vAlign w:val="center"/>
          </w:tcPr>
          <w:p>
            <w:pPr>
              <w:adjustRightInd w:val="0"/>
              <w:snapToGrid w:val="0"/>
              <w:jc w:val="left"/>
              <w:rPr>
                <w:rFonts w:ascii="宋体" w:hAnsi="宋体"/>
                <w:szCs w:val="21"/>
              </w:rPr>
            </w:pPr>
            <w:r>
              <w:rPr>
                <w:rFonts w:hint="eastAsia" w:ascii="宋体" w:hAnsi="宋体"/>
                <w:szCs w:val="21"/>
              </w:rPr>
              <w:t>APJ—（国）—480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68" w:type="dxa"/>
            <w:noWrap/>
            <w:vAlign w:val="center"/>
          </w:tcPr>
          <w:p>
            <w:pPr>
              <w:adjustRightInd w:val="0"/>
              <w:snapToGrid w:val="0"/>
              <w:jc w:val="center"/>
              <w:rPr>
                <w:rFonts w:ascii="宋体" w:hAnsi="宋体"/>
                <w:szCs w:val="21"/>
              </w:rPr>
            </w:pPr>
            <w:r>
              <w:rPr>
                <w:rFonts w:hint="eastAsia" w:ascii="宋体" w:hAnsi="宋体"/>
                <w:szCs w:val="21"/>
              </w:rPr>
              <w:t>发证机关</w:t>
            </w:r>
          </w:p>
        </w:tc>
        <w:tc>
          <w:tcPr>
            <w:tcW w:w="8011" w:type="dxa"/>
            <w:noWrap/>
            <w:vAlign w:val="center"/>
          </w:tcPr>
          <w:p>
            <w:pPr>
              <w:adjustRightInd w:val="0"/>
              <w:snapToGrid w:val="0"/>
              <w:jc w:val="left"/>
              <w:rPr>
                <w:rFonts w:ascii="宋体" w:hAnsi="宋体"/>
                <w:szCs w:val="21"/>
              </w:rPr>
            </w:pPr>
            <w:r>
              <w:rPr>
                <w:rFonts w:hint="eastAsia" w:ascii="宋体" w:hAnsi="宋体"/>
                <w:szCs w:val="21"/>
              </w:rPr>
              <w:t>应急管理厅</w:t>
            </w:r>
          </w:p>
        </w:tc>
      </w:tr>
    </w:tbl>
    <w:p>
      <w:pPr>
        <w:snapToGrid w:val="0"/>
        <w:spacing w:line="360" w:lineRule="auto"/>
        <w:ind w:firstLine="482"/>
        <w:rPr>
          <w:rFonts w:ascii="宋体" w:hAnsi="宋体" w:cs="宋体"/>
          <w:b/>
          <w:bCs/>
          <w:sz w:val="28"/>
          <w:szCs w:val="28"/>
        </w:rPr>
      </w:pPr>
      <w:r>
        <w:rPr>
          <w:rFonts w:hint="eastAsia" w:ascii="宋体" w:hAnsi="宋体" w:cs="宋体"/>
          <w:b/>
          <w:bCs/>
          <w:sz w:val="28"/>
          <w:szCs w:val="28"/>
        </w:rPr>
        <w:t>三、安全设施设计</w:t>
      </w:r>
    </w:p>
    <w:p>
      <w:pPr>
        <w:snapToGrid w:val="0"/>
        <w:spacing w:line="360" w:lineRule="auto"/>
        <w:ind w:firstLine="482"/>
        <w:rPr>
          <w:rFonts w:ascii="宋体" w:hAnsi="宋体" w:cs="宋体"/>
          <w:sz w:val="28"/>
          <w:szCs w:val="28"/>
        </w:rPr>
      </w:pPr>
      <w:r>
        <w:rPr>
          <w:rFonts w:hint="eastAsia" w:ascii="宋体" w:hAnsi="宋体" w:cs="宋体"/>
          <w:sz w:val="28"/>
          <w:szCs w:val="28"/>
        </w:rPr>
        <w:t>2021年5月，中基中联工程有限公司编制完成了《昆明云内动力股份有限公司G系列节能环保轻型商用车汽油机产业化建设项目安全设施设计》，经专家审查通过，安全专篇编制单位资质情况见表2-，安全专篇封面、编制单位资质及专家审查意见</w:t>
      </w:r>
      <w:r>
        <w:rPr>
          <w:rFonts w:hint="eastAsia" w:ascii="宋体" w:hAnsi="宋体" w:cs="宋体"/>
          <w:color w:val="000000" w:themeColor="text1"/>
          <w:sz w:val="28"/>
          <w:szCs w:val="28"/>
          <w14:textFill>
            <w14:solidFill>
              <w14:schemeClr w14:val="tx1"/>
            </w14:solidFill>
          </w14:textFill>
        </w:rPr>
        <w:t>见附件四。</w:t>
      </w:r>
    </w:p>
    <w:p>
      <w:pPr>
        <w:tabs>
          <w:tab w:val="left" w:pos="960"/>
        </w:tabs>
        <w:adjustRightInd w:val="0"/>
        <w:snapToGrid w:val="0"/>
        <w:spacing w:line="440" w:lineRule="exact"/>
        <w:jc w:val="center"/>
        <w:rPr>
          <w:rFonts w:ascii="宋体" w:hAnsi="宋体"/>
          <w:bCs/>
          <w:sz w:val="24"/>
        </w:rPr>
      </w:pPr>
      <w:r>
        <w:rPr>
          <w:rFonts w:hint="eastAsia" w:ascii="宋体" w:hAnsi="宋体"/>
          <w:bCs/>
          <w:sz w:val="24"/>
        </w:rPr>
        <w:t>表2-3 安全设施设计单位资质情况</w:t>
      </w:r>
    </w:p>
    <w:tbl>
      <w:tblPr>
        <w:tblStyle w:val="52"/>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8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97" w:type="dxa"/>
            <w:noWrap/>
            <w:vAlign w:val="center"/>
          </w:tcPr>
          <w:p>
            <w:pPr>
              <w:adjustRightInd w:val="0"/>
              <w:snapToGrid w:val="0"/>
              <w:jc w:val="center"/>
              <w:rPr>
                <w:rFonts w:ascii="宋体" w:hAnsi="宋体"/>
                <w:szCs w:val="21"/>
              </w:rPr>
            </w:pPr>
            <w:r>
              <w:rPr>
                <w:rFonts w:hint="eastAsia" w:ascii="宋体" w:hAnsi="宋体"/>
                <w:szCs w:val="21"/>
              </w:rPr>
              <w:t>单位名称</w:t>
            </w:r>
          </w:p>
        </w:tc>
        <w:tc>
          <w:tcPr>
            <w:tcW w:w="8122" w:type="dxa"/>
            <w:noWrap/>
          </w:tcPr>
          <w:p>
            <w:pPr>
              <w:adjustRightInd w:val="0"/>
              <w:snapToGrid w:val="0"/>
              <w:rPr>
                <w:rFonts w:ascii="宋体" w:hAnsi="宋体"/>
                <w:szCs w:val="21"/>
              </w:rPr>
            </w:pPr>
            <w:r>
              <w:rPr>
                <w:rFonts w:hint="eastAsia" w:ascii="宋体" w:hAnsi="宋体"/>
                <w:szCs w:val="21"/>
              </w:rPr>
              <w:t>中基中联工程有限公司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97" w:type="dxa"/>
            <w:noWrap/>
            <w:vAlign w:val="center"/>
          </w:tcPr>
          <w:p>
            <w:pPr>
              <w:adjustRightInd w:val="0"/>
              <w:snapToGrid w:val="0"/>
              <w:jc w:val="center"/>
              <w:rPr>
                <w:rFonts w:ascii="宋体" w:hAnsi="宋体"/>
                <w:szCs w:val="21"/>
              </w:rPr>
            </w:pPr>
            <w:r>
              <w:rPr>
                <w:rFonts w:hint="eastAsia" w:ascii="宋体" w:hAnsi="宋体"/>
                <w:szCs w:val="21"/>
              </w:rPr>
              <w:t>证书类别</w:t>
            </w:r>
          </w:p>
        </w:tc>
        <w:tc>
          <w:tcPr>
            <w:tcW w:w="8122" w:type="dxa"/>
            <w:noWrap/>
          </w:tcPr>
          <w:p>
            <w:pPr>
              <w:adjustRightInd w:val="0"/>
              <w:snapToGrid w:val="0"/>
              <w:rPr>
                <w:rFonts w:ascii="宋体" w:hAnsi="宋体"/>
                <w:szCs w:val="21"/>
              </w:rPr>
            </w:pPr>
            <w:r>
              <w:rPr>
                <w:rFonts w:hint="eastAsia" w:ascii="宋体" w:hAnsi="宋体"/>
                <w:szCs w:val="21"/>
              </w:rPr>
              <w:t>工程设计资质证书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297" w:type="dxa"/>
            <w:noWrap/>
            <w:vAlign w:val="center"/>
          </w:tcPr>
          <w:p>
            <w:pPr>
              <w:adjustRightInd w:val="0"/>
              <w:snapToGrid w:val="0"/>
              <w:jc w:val="center"/>
              <w:rPr>
                <w:rFonts w:ascii="宋体" w:hAnsi="宋体"/>
                <w:szCs w:val="21"/>
              </w:rPr>
            </w:pPr>
            <w:r>
              <w:rPr>
                <w:rFonts w:hint="eastAsia" w:ascii="宋体" w:hAnsi="宋体"/>
                <w:szCs w:val="21"/>
              </w:rPr>
              <w:t>资质等级</w:t>
            </w:r>
          </w:p>
        </w:tc>
        <w:tc>
          <w:tcPr>
            <w:tcW w:w="8122" w:type="dxa"/>
            <w:noWrap/>
          </w:tcPr>
          <w:p>
            <w:pPr>
              <w:adjustRightInd w:val="0"/>
              <w:snapToGrid w:val="0"/>
              <w:rPr>
                <w:rFonts w:ascii="宋体" w:hAnsi="宋体"/>
                <w:szCs w:val="21"/>
              </w:rPr>
            </w:pPr>
            <w:r>
              <w:rPr>
                <w:rFonts w:hint="eastAsia" w:ascii="宋体" w:hAnsi="宋体"/>
                <w:szCs w:val="21"/>
              </w:rPr>
              <w:t>机械行业甲级；电子通信广电行业(电子工程)甲级；市政行业(给水工程、排水工程、道路工程、桥梁工程、城市隧道工程)专业设计甲级；建筑行业（建筑工程）甲级；风景园林工程设计专项甲级；环境工程设计专项(水污染防治工程、大气污染防治工程)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97" w:type="dxa"/>
            <w:noWrap/>
            <w:vAlign w:val="center"/>
          </w:tcPr>
          <w:p>
            <w:pPr>
              <w:adjustRightInd w:val="0"/>
              <w:snapToGrid w:val="0"/>
              <w:jc w:val="center"/>
              <w:rPr>
                <w:rFonts w:ascii="宋体" w:hAnsi="宋体"/>
                <w:szCs w:val="21"/>
              </w:rPr>
            </w:pPr>
            <w:r>
              <w:rPr>
                <w:rFonts w:hint="eastAsia" w:ascii="宋体" w:hAnsi="宋体"/>
                <w:szCs w:val="21"/>
              </w:rPr>
              <w:t>证书编号</w:t>
            </w:r>
          </w:p>
        </w:tc>
        <w:tc>
          <w:tcPr>
            <w:tcW w:w="8122" w:type="dxa"/>
            <w:noWrap/>
          </w:tcPr>
          <w:p>
            <w:pPr>
              <w:adjustRightInd w:val="0"/>
              <w:snapToGrid w:val="0"/>
              <w:rPr>
                <w:rFonts w:ascii="宋体" w:hAnsi="宋体"/>
                <w:szCs w:val="21"/>
              </w:rPr>
            </w:pPr>
            <w:r>
              <w:rPr>
                <w:rFonts w:hint="eastAsia" w:ascii="宋体" w:hAnsi="宋体"/>
                <w:szCs w:val="21"/>
              </w:rPr>
              <w:t>A150000190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97" w:type="dxa"/>
            <w:noWrap/>
            <w:vAlign w:val="center"/>
          </w:tcPr>
          <w:p>
            <w:pPr>
              <w:adjustRightInd w:val="0"/>
              <w:snapToGrid w:val="0"/>
              <w:jc w:val="center"/>
              <w:rPr>
                <w:rFonts w:ascii="宋体" w:hAnsi="宋体"/>
                <w:szCs w:val="21"/>
              </w:rPr>
            </w:pPr>
            <w:r>
              <w:rPr>
                <w:rFonts w:hint="eastAsia" w:ascii="宋体" w:hAnsi="宋体"/>
                <w:szCs w:val="21"/>
              </w:rPr>
              <w:t>发证机关</w:t>
            </w:r>
          </w:p>
        </w:tc>
        <w:tc>
          <w:tcPr>
            <w:tcW w:w="8122" w:type="dxa"/>
            <w:noWrap/>
          </w:tcPr>
          <w:p>
            <w:pPr>
              <w:adjustRightInd w:val="0"/>
              <w:snapToGrid w:val="0"/>
              <w:rPr>
                <w:rFonts w:ascii="宋体" w:hAnsi="宋体"/>
                <w:szCs w:val="21"/>
              </w:rPr>
            </w:pPr>
            <w:r>
              <w:rPr>
                <w:rFonts w:hint="eastAsia" w:ascii="宋体" w:hAnsi="宋体"/>
                <w:szCs w:val="21"/>
              </w:rPr>
              <w:t>中华人民共和国住房和城乡建设部</w:t>
            </w:r>
          </w:p>
        </w:tc>
      </w:tr>
    </w:tbl>
    <w:p>
      <w:bookmarkStart w:id="166" w:name="_Toc25971"/>
    </w:p>
    <w:p>
      <w:pPr>
        <w:pStyle w:val="5"/>
        <w:keepNext w:val="0"/>
        <w:keepLines w:val="0"/>
        <w:snapToGrid w:val="0"/>
        <w:spacing w:before="0" w:after="0" w:line="360" w:lineRule="auto"/>
        <w:jc w:val="left"/>
        <w:rPr>
          <w:rFonts w:ascii="宋体" w:hAnsi="宋体" w:cs="宋体"/>
          <w:sz w:val="28"/>
          <w:szCs w:val="28"/>
        </w:rPr>
      </w:pPr>
      <w:bookmarkStart w:id="167" w:name="_Toc1701"/>
      <w:r>
        <w:rPr>
          <w:rFonts w:hint="eastAsia" w:ascii="宋体" w:hAnsi="宋体" w:cs="宋体"/>
          <w:sz w:val="28"/>
          <w:szCs w:val="28"/>
        </w:rPr>
        <w:t>2.3.2项目施工情况</w:t>
      </w:r>
      <w:bookmarkEnd w:id="166"/>
      <w:bookmarkEnd w:id="167"/>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本项目建设性质为新建，</w:t>
      </w:r>
      <w:bookmarkStart w:id="168" w:name="_Hlk499221221"/>
      <w:r>
        <w:rPr>
          <w:rFonts w:hint="eastAsia" w:ascii="宋体" w:hAnsi="宋体" w:cs="宋体"/>
          <w:color w:val="000000" w:themeColor="text1"/>
          <w:sz w:val="28"/>
          <w:szCs w:val="28"/>
          <w14:textFill>
            <w14:solidFill>
              <w14:schemeClr w14:val="tx1"/>
            </w14:solidFill>
          </w14:textFill>
        </w:rPr>
        <w:t>主要</w:t>
      </w:r>
      <w:bookmarkEnd w:id="168"/>
      <w:r>
        <w:rPr>
          <w:rFonts w:hint="eastAsia" w:ascii="宋体" w:hAnsi="宋体" w:cs="宋体"/>
          <w:color w:val="000000" w:themeColor="text1"/>
          <w:sz w:val="28"/>
          <w:szCs w:val="28"/>
          <w14:textFill>
            <w14:solidFill>
              <w14:schemeClr w14:val="tx1"/>
            </w14:solidFill>
          </w14:textFill>
        </w:rPr>
        <w:t>是在新建第三联合厂房内，新建G系列节能环保轻型商用车汽油机缸体、缸盖机加工生产线各一条，缸体、缸盖设计年产能10万件。新建厂房勘察单位：云南地质工程勘察研究院；设计单位：中机中联工程有限公司；监理单位：云南科禹监理有限公司；施工单位：云南同振建设工程有限责任公司。项目厂房开工日期2020年4月30日，完工时间2021年7月19日，竣工验收时间2022年7月8日。</w:t>
      </w:r>
    </w:p>
    <w:p>
      <w:pPr>
        <w:snapToGrid w:val="0"/>
        <w:spacing w:line="360" w:lineRule="auto"/>
        <w:ind w:firstLine="482"/>
        <w:rPr>
          <w:rFonts w:ascii="宋体" w:hAnsi="宋体" w:cs="宋体"/>
          <w:sz w:val="28"/>
          <w:szCs w:val="28"/>
        </w:rPr>
      </w:pPr>
      <w:r>
        <w:rPr>
          <w:rFonts w:hint="eastAsia" w:ascii="宋体" w:hAnsi="宋体" w:cs="宋体"/>
          <w:sz w:val="28"/>
          <w:szCs w:val="28"/>
        </w:rPr>
        <w:t>所有施工均在云内动力第三联合厂房内部进行。设备的安装均由设备厂家进行安装。</w:t>
      </w:r>
    </w:p>
    <w:p>
      <w:pPr>
        <w:pStyle w:val="5"/>
        <w:keepNext w:val="0"/>
        <w:keepLines w:val="0"/>
        <w:snapToGrid w:val="0"/>
        <w:spacing w:before="0" w:after="0" w:line="360" w:lineRule="auto"/>
        <w:jc w:val="left"/>
        <w:rPr>
          <w:rFonts w:ascii="宋体" w:hAnsi="宋体" w:cs="宋体"/>
          <w:sz w:val="28"/>
          <w:szCs w:val="28"/>
        </w:rPr>
      </w:pPr>
      <w:bookmarkStart w:id="169" w:name="_Toc29779"/>
      <w:bookmarkStart w:id="170" w:name="_Toc21913"/>
      <w:r>
        <w:rPr>
          <w:rFonts w:hint="eastAsia" w:ascii="宋体" w:hAnsi="宋体" w:cs="宋体"/>
          <w:sz w:val="28"/>
          <w:szCs w:val="28"/>
        </w:rPr>
        <w:t>2.3.3相关验收及特种设备检验情况</w:t>
      </w:r>
      <w:bookmarkEnd w:id="169"/>
      <w:bookmarkEnd w:id="170"/>
    </w:p>
    <w:p>
      <w:pPr>
        <w:snapToGrid w:val="0"/>
        <w:spacing w:line="360" w:lineRule="auto"/>
        <w:ind w:firstLine="482"/>
        <w:rPr>
          <w:rFonts w:ascii="宋体" w:hAnsi="宋体" w:cs="宋体"/>
          <w:b/>
          <w:bCs/>
          <w:sz w:val="28"/>
          <w:szCs w:val="28"/>
        </w:rPr>
      </w:pPr>
      <w:r>
        <w:rPr>
          <w:rFonts w:hint="eastAsia" w:ascii="宋体" w:hAnsi="宋体" w:cs="宋体"/>
          <w:b/>
          <w:bCs/>
          <w:sz w:val="28"/>
          <w:szCs w:val="28"/>
        </w:rPr>
        <w:t>一、消防验收</w:t>
      </w:r>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2022年5月17日云内动力向中国（云南）自由贸易试验区昆明片区规划建设局昆明经济技术开发区规划建设局提交相关资料，对第三联合厂房G系列节能环保轻型商用车汽油机产业化建设项目消防验收备案。详见附件。</w:t>
      </w:r>
    </w:p>
    <w:p>
      <w:pPr>
        <w:snapToGrid w:val="0"/>
        <w:spacing w:line="360" w:lineRule="auto"/>
        <w:ind w:firstLine="482"/>
        <w:rPr>
          <w:rFonts w:ascii="宋体" w:hAnsi="宋体" w:cs="宋体"/>
          <w:b/>
          <w:bCs/>
          <w:sz w:val="28"/>
          <w:szCs w:val="28"/>
        </w:rPr>
      </w:pPr>
      <w:r>
        <w:rPr>
          <w:rFonts w:hint="eastAsia" w:ascii="宋体" w:hAnsi="宋体" w:cs="宋体"/>
          <w:b/>
          <w:bCs/>
          <w:sz w:val="28"/>
          <w:szCs w:val="28"/>
        </w:rPr>
        <w:t>二、工程质量验收</w:t>
      </w:r>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sz w:val="28"/>
          <w:szCs w:val="28"/>
        </w:rPr>
        <w:t>本项目建设过程中，由昆明云内动力股份有限公司自行组织施工单位分阶</w:t>
      </w:r>
      <w:r>
        <w:rPr>
          <w:rFonts w:hint="eastAsia" w:ascii="宋体" w:hAnsi="宋体" w:cs="宋体"/>
          <w:color w:val="000000" w:themeColor="text1"/>
          <w:sz w:val="28"/>
          <w:szCs w:val="28"/>
          <w14:textFill>
            <w14:solidFill>
              <w14:schemeClr w14:val="tx1"/>
            </w14:solidFill>
          </w14:textFill>
        </w:rPr>
        <w:t>段、分项目对施工质量进行了验收，各单位工程施工质量核定为合格。</w:t>
      </w:r>
    </w:p>
    <w:p>
      <w:pPr>
        <w:numPr>
          <w:ilvl w:val="0"/>
          <w:numId w:val="5"/>
        </w:numPr>
        <w:snapToGrid w:val="0"/>
        <w:spacing w:line="360" w:lineRule="auto"/>
        <w:ind w:firstLine="482"/>
        <w:rPr>
          <w:rFonts w:ascii="宋体" w:hAnsi="宋体" w:cs="宋体"/>
          <w:b/>
          <w:color w:val="000000" w:themeColor="text1"/>
          <w:kern w:val="0"/>
          <w:sz w:val="28"/>
          <w:szCs w:val="28"/>
          <w14:textFill>
            <w14:solidFill>
              <w14:schemeClr w14:val="tx1"/>
            </w14:solidFill>
          </w14:textFill>
        </w:rPr>
      </w:pPr>
      <w:r>
        <w:rPr>
          <w:rFonts w:hint="eastAsia" w:ascii="宋体" w:hAnsi="宋体" w:cs="宋体"/>
          <w:b/>
          <w:color w:val="000000" w:themeColor="text1"/>
          <w:kern w:val="0"/>
          <w:sz w:val="28"/>
          <w:szCs w:val="28"/>
          <w14:textFill>
            <w14:solidFill>
              <w14:schemeClr w14:val="tx1"/>
            </w14:solidFill>
          </w14:textFill>
        </w:rPr>
        <w:t>特种设备注册登记与检测检验</w:t>
      </w:r>
    </w:p>
    <w:p>
      <w:pPr>
        <w:pStyle w:val="50"/>
        <w:spacing w:line="360" w:lineRule="auto"/>
        <w:ind w:firstLine="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表2-4 特种设备检测检验情况汇总表</w:t>
      </w:r>
    </w:p>
    <w:tbl>
      <w:tblPr>
        <w:tblStyle w:val="52"/>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05"/>
        <w:gridCol w:w="1380"/>
        <w:gridCol w:w="1290"/>
        <w:gridCol w:w="1320"/>
        <w:gridCol w:w="1275"/>
        <w:gridCol w:w="778"/>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0"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序号</w:t>
            </w:r>
          </w:p>
        </w:tc>
        <w:tc>
          <w:tcPr>
            <w:tcW w:w="1305"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设备设施名称</w:t>
            </w:r>
          </w:p>
        </w:tc>
        <w:tc>
          <w:tcPr>
            <w:tcW w:w="1380"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设备代码</w:t>
            </w:r>
          </w:p>
        </w:tc>
        <w:tc>
          <w:tcPr>
            <w:tcW w:w="1290"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使用登记证编码</w:t>
            </w:r>
          </w:p>
        </w:tc>
        <w:tc>
          <w:tcPr>
            <w:tcW w:w="1320"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检验日期</w:t>
            </w:r>
          </w:p>
        </w:tc>
        <w:tc>
          <w:tcPr>
            <w:tcW w:w="1275"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下次检验日期</w:t>
            </w:r>
          </w:p>
        </w:tc>
        <w:tc>
          <w:tcPr>
            <w:tcW w:w="778"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检测检验结论</w:t>
            </w:r>
          </w:p>
        </w:tc>
        <w:tc>
          <w:tcPr>
            <w:tcW w:w="1760" w:type="dxa"/>
            <w:noWrap/>
            <w:vAlign w:val="center"/>
          </w:tcPr>
          <w:p>
            <w:pPr>
              <w:pStyle w:val="50"/>
              <w:ind w:firstLine="0"/>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检测单位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noWrap/>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bookmarkStart w:id="171" w:name="_Toc4295"/>
          </w:p>
        </w:tc>
        <w:tc>
          <w:tcPr>
            <w:tcW w:w="1305" w:type="dxa"/>
            <w:noWrap/>
            <w:vAlign w:val="center"/>
          </w:tcPr>
          <w:p>
            <w:pPr>
              <w:pStyle w:val="50"/>
              <w:ind w:firstLine="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noWrap/>
            <w:vAlign w:val="center"/>
          </w:tcPr>
          <w:p>
            <w:pPr>
              <w:pStyle w:val="50"/>
              <w:ind w:firstLine="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417010A21202101881</w:t>
            </w:r>
          </w:p>
        </w:tc>
        <w:tc>
          <w:tcPr>
            <w:tcW w:w="1290" w:type="dxa"/>
            <w:noWrap/>
            <w:vAlign w:val="center"/>
          </w:tcPr>
          <w:p>
            <w:pPr>
              <w:pStyle w:val="50"/>
              <w:ind w:firstLine="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起110016</w:t>
            </w:r>
            <w:r>
              <w:rPr>
                <w:rFonts w:hint="eastAsia" w:ascii="宋体" w:hAnsi="宋体" w:cs="宋体"/>
                <w:color w:val="000000" w:themeColor="text1"/>
                <w:sz w:val="21"/>
                <w:szCs w:val="21"/>
                <w:lang w:val="en-US" w:eastAsia="zh-CN"/>
                <w14:textFill>
                  <w14:solidFill>
                    <w14:schemeClr w14:val="tx1"/>
                  </w14:solidFill>
                </w14:textFill>
              </w:rPr>
              <w:t>99</w:t>
            </w:r>
            <w:r>
              <w:rPr>
                <w:rFonts w:hint="eastAsia" w:ascii="宋体" w:hAnsi="宋体" w:cs="宋体"/>
                <w:color w:val="000000" w:themeColor="text1"/>
                <w:sz w:val="21"/>
                <w:szCs w:val="21"/>
                <w14:textFill>
                  <w14:solidFill>
                    <w14:schemeClr w14:val="tx1"/>
                  </w14:solidFill>
                </w14:textFill>
              </w:rPr>
              <w:t>（21）</w:t>
            </w:r>
          </w:p>
        </w:tc>
        <w:tc>
          <w:tcPr>
            <w:tcW w:w="1320" w:type="dxa"/>
            <w:noWrap/>
            <w:vAlign w:val="center"/>
          </w:tcPr>
          <w:p>
            <w:pPr>
              <w:pStyle w:val="50"/>
              <w:ind w:firstLine="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noWrap/>
            <w:vAlign w:val="center"/>
          </w:tcPr>
          <w:p>
            <w:pPr>
              <w:pStyle w:val="50"/>
              <w:ind w:firstLine="0" w:firstLineChars="0"/>
              <w:jc w:val="center"/>
              <w:rPr>
                <w:rFonts w:hint="default" w:ascii="宋体" w:hAnsi="宋体" w:eastAsia="宋体" w:cs="宋体"/>
                <w:snapToGrid w:val="0"/>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noWrap/>
            <w:vAlign w:val="center"/>
          </w:tcPr>
          <w:p>
            <w:pPr>
              <w:pStyle w:val="50"/>
              <w:ind w:firstLine="0" w:firstLineChars="0"/>
              <w:jc w:val="center"/>
              <w:rPr>
                <w:rFonts w:hint="eastAsia" w:ascii="宋体" w:hAnsi="宋体" w:eastAsia="宋体" w:cs="宋体"/>
                <w:snapToGrid w:val="0"/>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noWrap/>
            <w:vAlign w:val="center"/>
          </w:tcPr>
          <w:p>
            <w:pPr>
              <w:pStyle w:val="50"/>
              <w:ind w:firstLine="0" w:firstLineChars="0"/>
              <w:jc w:val="center"/>
              <w:rPr>
                <w:rFonts w:hint="eastAsia" w:ascii="宋体" w:hAnsi="宋体" w:eastAsia="宋体" w:cs="宋体"/>
                <w:snapToGrid w:val="0"/>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noWrap/>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noWrap/>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noWrap/>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417010A21202101882</w:t>
            </w:r>
          </w:p>
        </w:tc>
        <w:tc>
          <w:tcPr>
            <w:tcW w:w="1290" w:type="dxa"/>
            <w:noWrap/>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起1100167（21）</w:t>
            </w:r>
          </w:p>
        </w:tc>
        <w:tc>
          <w:tcPr>
            <w:tcW w:w="1320" w:type="dxa"/>
            <w:noWrap/>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noWrap/>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noWrap/>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noWrap/>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417010A21202101883</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起1100168（21）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417010A21202101884</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起1100170（21）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417010A21202101885</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起1100171（21）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417010A21202101886</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起1100172（21）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417010A21202101887</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起1100173（21）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417010A21202101888</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起1100174（21）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417010A21202101889</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起1100175（21）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桥式起重机</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417010A21202101891</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起1100176（21）</w:t>
            </w:r>
          </w:p>
        </w:tc>
        <w:tc>
          <w:tcPr>
            <w:tcW w:w="1320"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18</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叉车</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511010329202114441</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车1100600（21）</w:t>
            </w:r>
          </w:p>
        </w:tc>
        <w:tc>
          <w:tcPr>
            <w:tcW w:w="1320" w:type="dxa"/>
            <w:vAlign w:val="center"/>
          </w:tcPr>
          <w:p>
            <w:pPr>
              <w:pStyle w:val="50"/>
              <w:ind w:firstLine="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color w:val="000000" w:themeColor="text1"/>
                <w:sz w:val="21"/>
                <w:szCs w:val="21"/>
                <w14:textFill>
                  <w14:solidFill>
                    <w14:schemeClr w14:val="tx1"/>
                  </w14:solidFill>
                </w14:textFill>
              </w:rPr>
            </w:pPr>
          </w:p>
        </w:tc>
        <w:tc>
          <w:tcPr>
            <w:tcW w:w="1305"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叉车</w:t>
            </w:r>
          </w:p>
        </w:tc>
        <w:tc>
          <w:tcPr>
            <w:tcW w:w="138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51105301142021070004</w:t>
            </w:r>
          </w:p>
        </w:tc>
        <w:tc>
          <w:tcPr>
            <w:tcW w:w="129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车1100603（21）</w:t>
            </w:r>
          </w:p>
        </w:tc>
        <w:tc>
          <w:tcPr>
            <w:tcW w:w="1320" w:type="dxa"/>
            <w:vAlign w:val="center"/>
          </w:tcPr>
          <w:p>
            <w:pPr>
              <w:pStyle w:val="50"/>
              <w:ind w:firstLine="0" w:firstLineChars="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.07.</w:t>
            </w:r>
            <w:r>
              <w:rPr>
                <w:rFonts w:hint="eastAsia" w:ascii="宋体" w:hAnsi="宋体" w:cs="宋体"/>
                <w:color w:val="000000" w:themeColor="text1"/>
                <w:sz w:val="21"/>
                <w:szCs w:val="21"/>
                <w:lang w:val="en-US" w:eastAsia="zh-CN"/>
                <w14:textFill>
                  <w14:solidFill>
                    <w14:schemeClr w14:val="tx1"/>
                  </w14:solidFill>
                </w14:textFill>
              </w:rPr>
              <w:t>19</w:t>
            </w:r>
          </w:p>
        </w:tc>
        <w:tc>
          <w:tcPr>
            <w:tcW w:w="1275" w:type="dxa"/>
            <w:vAlign w:val="center"/>
          </w:tcPr>
          <w:p>
            <w:pPr>
              <w:pStyle w:val="50"/>
              <w:ind w:firstLine="0" w:firstLineChars="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.07</w:t>
            </w:r>
          </w:p>
        </w:tc>
        <w:tc>
          <w:tcPr>
            <w:tcW w:w="778"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合格</w:t>
            </w:r>
          </w:p>
        </w:tc>
        <w:tc>
          <w:tcPr>
            <w:tcW w:w="1760" w:type="dxa"/>
            <w:vAlign w:val="center"/>
          </w:tcPr>
          <w:p>
            <w:pPr>
              <w:pStyle w:val="50"/>
              <w:ind w:firstLine="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sz w:val="21"/>
                <w:szCs w:val="21"/>
              </w:rPr>
            </w:pPr>
          </w:p>
        </w:tc>
        <w:tc>
          <w:tcPr>
            <w:tcW w:w="1305" w:type="dxa"/>
            <w:vAlign w:val="center"/>
          </w:tcPr>
          <w:p>
            <w:pPr>
              <w:pStyle w:val="50"/>
              <w:ind w:firstLine="0"/>
              <w:jc w:val="center"/>
              <w:rPr>
                <w:rFonts w:ascii="宋体" w:hAnsi="宋体" w:cs="宋体"/>
                <w:sz w:val="21"/>
                <w:szCs w:val="21"/>
              </w:rPr>
            </w:pPr>
            <w:r>
              <w:rPr>
                <w:rFonts w:hint="eastAsia" w:ascii="宋体" w:hAnsi="宋体" w:cs="宋体"/>
                <w:sz w:val="21"/>
                <w:szCs w:val="21"/>
              </w:rPr>
              <w:t>叉车</w:t>
            </w:r>
          </w:p>
        </w:tc>
        <w:tc>
          <w:tcPr>
            <w:tcW w:w="1380" w:type="dxa"/>
            <w:vAlign w:val="center"/>
          </w:tcPr>
          <w:p>
            <w:pPr>
              <w:pStyle w:val="50"/>
              <w:ind w:firstLine="0"/>
              <w:jc w:val="center"/>
              <w:rPr>
                <w:rFonts w:ascii="宋体" w:hAnsi="宋体" w:cs="宋体"/>
                <w:sz w:val="21"/>
                <w:szCs w:val="21"/>
              </w:rPr>
            </w:pPr>
            <w:r>
              <w:rPr>
                <w:rFonts w:hint="eastAsia" w:ascii="宋体" w:hAnsi="宋体" w:cs="宋体"/>
                <w:sz w:val="21"/>
                <w:szCs w:val="21"/>
              </w:rPr>
              <w:t>511201510067X20140473</w:t>
            </w:r>
          </w:p>
        </w:tc>
        <w:tc>
          <w:tcPr>
            <w:tcW w:w="1290" w:type="dxa"/>
            <w:vAlign w:val="center"/>
          </w:tcPr>
          <w:p>
            <w:pPr>
              <w:pStyle w:val="50"/>
              <w:ind w:firstLine="0"/>
              <w:jc w:val="center"/>
              <w:rPr>
                <w:rFonts w:hint="eastAsia" w:ascii="宋体" w:hAnsi="宋体" w:eastAsia="宋体" w:cs="宋体"/>
                <w:sz w:val="21"/>
                <w:szCs w:val="21"/>
                <w:lang w:eastAsia="zh-CN"/>
              </w:rPr>
            </w:pPr>
            <w:r>
              <w:rPr>
                <w:rFonts w:hint="eastAsia" w:ascii="宋体" w:hAnsi="宋体" w:cs="宋体"/>
                <w:sz w:val="21"/>
                <w:szCs w:val="21"/>
              </w:rPr>
              <w:t>厂11滇A0228</w:t>
            </w:r>
            <w:r>
              <w:rPr>
                <w:rFonts w:hint="eastAsia" w:ascii="宋体" w:hAnsi="宋体" w:cs="宋体"/>
                <w:sz w:val="21"/>
                <w:szCs w:val="21"/>
                <w:lang w:val="en-US" w:eastAsia="zh-CN"/>
              </w:rPr>
              <w:t>（</w:t>
            </w:r>
            <w:r>
              <w:rPr>
                <w:rFonts w:hint="eastAsia" w:ascii="宋体" w:hAnsi="宋体" w:cs="宋体"/>
                <w:sz w:val="21"/>
                <w:szCs w:val="21"/>
              </w:rPr>
              <w:t>14</w:t>
            </w:r>
            <w:r>
              <w:rPr>
                <w:rFonts w:hint="eastAsia" w:ascii="宋体" w:hAnsi="宋体" w:cs="宋体"/>
                <w:sz w:val="21"/>
                <w:szCs w:val="21"/>
                <w:lang w:eastAsia="zh-CN"/>
              </w:rPr>
              <w:t>）</w:t>
            </w:r>
          </w:p>
          <w:p>
            <w:pPr>
              <w:pStyle w:val="50"/>
              <w:ind w:firstLine="0"/>
              <w:jc w:val="center"/>
              <w:rPr>
                <w:rFonts w:ascii="宋体" w:hAnsi="宋体" w:cs="宋体"/>
                <w:sz w:val="21"/>
                <w:szCs w:val="21"/>
              </w:rPr>
            </w:pPr>
          </w:p>
        </w:tc>
        <w:tc>
          <w:tcPr>
            <w:tcW w:w="1320" w:type="dxa"/>
            <w:vAlign w:val="center"/>
          </w:tcPr>
          <w:p>
            <w:pPr>
              <w:pStyle w:val="50"/>
              <w:ind w:firstLine="0" w:firstLineChar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.0</w:t>
            </w:r>
            <w:r>
              <w:rPr>
                <w:rFonts w:hint="eastAsia" w:ascii="宋体" w:hAnsi="宋体" w:cs="宋体"/>
                <w:color w:val="000000" w:themeColor="text1"/>
                <w:sz w:val="21"/>
                <w:szCs w:val="21"/>
                <w:lang w:val="en-US" w:eastAsia="zh-CN"/>
                <w14:textFill>
                  <w14:solidFill>
                    <w14:schemeClr w14:val="tx1"/>
                  </w14:solidFill>
                </w14:textFill>
              </w:rPr>
              <w:t>4.28</w:t>
            </w:r>
          </w:p>
        </w:tc>
        <w:tc>
          <w:tcPr>
            <w:tcW w:w="1275" w:type="dxa"/>
            <w:vAlign w:val="center"/>
          </w:tcPr>
          <w:p>
            <w:pPr>
              <w:pStyle w:val="50"/>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202</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.0</w:t>
            </w:r>
            <w:r>
              <w:rPr>
                <w:rFonts w:hint="eastAsia" w:ascii="宋体" w:hAnsi="宋体" w:cs="宋体"/>
                <w:color w:val="000000" w:themeColor="text1"/>
                <w:sz w:val="21"/>
                <w:szCs w:val="21"/>
                <w:lang w:val="en-US" w:eastAsia="zh-CN"/>
                <w14:textFill>
                  <w14:solidFill>
                    <w14:schemeClr w14:val="tx1"/>
                  </w14:solidFill>
                </w14:textFill>
              </w:rPr>
              <w:t>4</w:t>
            </w:r>
          </w:p>
        </w:tc>
        <w:tc>
          <w:tcPr>
            <w:tcW w:w="778" w:type="dxa"/>
            <w:vAlign w:val="center"/>
          </w:tcPr>
          <w:p>
            <w:pPr>
              <w:pStyle w:val="50"/>
              <w:ind w:firstLine="0"/>
              <w:jc w:val="center"/>
              <w:rPr>
                <w:rFonts w:ascii="宋体" w:hAnsi="宋体" w:cs="宋体"/>
                <w:sz w:val="21"/>
                <w:szCs w:val="21"/>
              </w:rPr>
            </w:pPr>
            <w:r>
              <w:rPr>
                <w:rFonts w:hint="eastAsia" w:ascii="宋体" w:hAnsi="宋体" w:cs="宋体"/>
                <w:sz w:val="21"/>
                <w:szCs w:val="21"/>
              </w:rPr>
              <w:t>复检合格</w:t>
            </w:r>
          </w:p>
        </w:tc>
        <w:tc>
          <w:tcPr>
            <w:tcW w:w="1760" w:type="dxa"/>
            <w:vAlign w:val="center"/>
          </w:tcPr>
          <w:p>
            <w:pPr>
              <w:pStyle w:val="50"/>
              <w:ind w:firstLine="0"/>
              <w:jc w:val="center"/>
              <w:rPr>
                <w:rFonts w:ascii="宋体" w:hAnsi="宋体" w:cs="宋体"/>
                <w:sz w:val="21"/>
                <w:szCs w:val="21"/>
              </w:rPr>
            </w:pPr>
            <w:r>
              <w:rPr>
                <w:rFonts w:hint="eastAsia" w:ascii="宋体" w:hAnsi="宋体" w:cs="宋体"/>
                <w:sz w:val="21"/>
                <w:szCs w:val="21"/>
              </w:rPr>
              <w:t>云南省特种设备安全检测研究院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50"/>
              <w:numPr>
                <w:ilvl w:val="0"/>
                <w:numId w:val="6"/>
              </w:numPr>
              <w:jc w:val="center"/>
              <w:rPr>
                <w:rFonts w:ascii="宋体" w:hAnsi="宋体" w:cs="宋体"/>
                <w:sz w:val="21"/>
                <w:szCs w:val="21"/>
              </w:rPr>
            </w:pPr>
          </w:p>
        </w:tc>
        <w:tc>
          <w:tcPr>
            <w:tcW w:w="1305" w:type="dxa"/>
            <w:vAlign w:val="center"/>
          </w:tcPr>
          <w:p>
            <w:pPr>
              <w:pStyle w:val="50"/>
              <w:ind w:firstLine="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叉车</w:t>
            </w:r>
          </w:p>
        </w:tc>
        <w:tc>
          <w:tcPr>
            <w:tcW w:w="1380" w:type="dxa"/>
            <w:vAlign w:val="center"/>
          </w:tcPr>
          <w:p>
            <w:pPr>
              <w:pStyle w:val="50"/>
              <w:ind w:firstLine="0"/>
              <w:jc w:val="center"/>
              <w:rPr>
                <w:rFonts w:hint="eastAsia" w:ascii="宋体" w:hAnsi="宋体" w:cs="宋体"/>
                <w:sz w:val="21"/>
                <w:szCs w:val="21"/>
              </w:rPr>
            </w:pPr>
            <w:r>
              <w:rPr>
                <w:rFonts w:hint="eastAsia" w:ascii="宋体" w:hAnsi="宋体" w:cs="宋体"/>
                <w:sz w:val="21"/>
                <w:szCs w:val="21"/>
              </w:rPr>
              <w:t>511010353201703742</w:t>
            </w:r>
          </w:p>
        </w:tc>
        <w:tc>
          <w:tcPr>
            <w:tcW w:w="1290" w:type="dxa"/>
            <w:vAlign w:val="center"/>
          </w:tcPr>
          <w:p>
            <w:pPr>
              <w:pStyle w:val="50"/>
              <w:ind w:firstLine="0"/>
              <w:jc w:val="center"/>
              <w:rPr>
                <w:rFonts w:hint="eastAsia" w:ascii="宋体" w:hAnsi="宋体" w:eastAsia="宋体" w:cs="宋体"/>
                <w:sz w:val="21"/>
                <w:szCs w:val="21"/>
                <w:lang w:eastAsia="zh-CN"/>
              </w:rPr>
            </w:pPr>
            <w:r>
              <w:rPr>
                <w:rFonts w:hint="eastAsia" w:ascii="宋体" w:hAnsi="宋体" w:cs="宋体"/>
                <w:sz w:val="21"/>
                <w:szCs w:val="21"/>
              </w:rPr>
              <w:t>厂11滇A0054</w:t>
            </w:r>
            <w:r>
              <w:rPr>
                <w:rFonts w:hint="eastAsia" w:ascii="宋体" w:hAnsi="宋体" w:cs="宋体"/>
                <w:sz w:val="21"/>
                <w:szCs w:val="21"/>
                <w:lang w:eastAsia="zh-CN"/>
              </w:rPr>
              <w:t>（</w:t>
            </w:r>
            <w:r>
              <w:rPr>
                <w:rFonts w:hint="eastAsia" w:ascii="宋体" w:hAnsi="宋体" w:cs="宋体"/>
                <w:sz w:val="21"/>
                <w:szCs w:val="21"/>
              </w:rPr>
              <w:t>18</w:t>
            </w:r>
            <w:r>
              <w:rPr>
                <w:rFonts w:hint="eastAsia" w:ascii="宋体" w:hAnsi="宋体" w:cs="宋体"/>
                <w:sz w:val="21"/>
                <w:szCs w:val="21"/>
                <w:lang w:eastAsia="zh-CN"/>
              </w:rPr>
              <w:t>）</w:t>
            </w:r>
          </w:p>
        </w:tc>
        <w:tc>
          <w:tcPr>
            <w:tcW w:w="1320" w:type="dxa"/>
            <w:vAlign w:val="center"/>
          </w:tcPr>
          <w:p>
            <w:pPr>
              <w:pStyle w:val="50"/>
              <w:ind w:firstLine="0" w:firstLineChar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2023.04.28</w:t>
            </w:r>
          </w:p>
        </w:tc>
        <w:tc>
          <w:tcPr>
            <w:tcW w:w="1275" w:type="dxa"/>
            <w:vAlign w:val="center"/>
          </w:tcPr>
          <w:p>
            <w:pPr>
              <w:pStyle w:val="50"/>
              <w:ind w:firstLine="0" w:firstLineChar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2025.04</w:t>
            </w:r>
          </w:p>
        </w:tc>
        <w:tc>
          <w:tcPr>
            <w:tcW w:w="778" w:type="dxa"/>
            <w:vAlign w:val="center"/>
          </w:tcPr>
          <w:p>
            <w:pPr>
              <w:pStyle w:val="50"/>
              <w:ind w:firstLine="0" w:firstLineChars="0"/>
              <w:jc w:val="center"/>
              <w:rPr>
                <w:rFonts w:hint="eastAsia" w:ascii="宋体" w:hAnsi="宋体" w:eastAsia="宋体" w:cs="宋体"/>
                <w:snapToGrid w:val="0"/>
                <w:kern w:val="2"/>
                <w:sz w:val="21"/>
                <w:szCs w:val="21"/>
                <w:lang w:val="en-US" w:eastAsia="zh-CN" w:bidi="ar-SA"/>
              </w:rPr>
            </w:pPr>
            <w:r>
              <w:rPr>
                <w:rFonts w:hint="eastAsia" w:ascii="宋体" w:hAnsi="宋体" w:cs="宋体"/>
                <w:sz w:val="21"/>
                <w:szCs w:val="21"/>
              </w:rPr>
              <w:t>复检合格</w:t>
            </w:r>
          </w:p>
        </w:tc>
        <w:tc>
          <w:tcPr>
            <w:tcW w:w="1760" w:type="dxa"/>
            <w:vAlign w:val="center"/>
          </w:tcPr>
          <w:p>
            <w:pPr>
              <w:pStyle w:val="50"/>
              <w:ind w:firstLine="0" w:firstLineChars="0"/>
              <w:jc w:val="center"/>
              <w:rPr>
                <w:rFonts w:hint="eastAsia" w:ascii="宋体" w:hAnsi="宋体" w:eastAsia="宋体" w:cs="宋体"/>
                <w:snapToGrid w:val="0"/>
                <w:kern w:val="2"/>
                <w:sz w:val="21"/>
                <w:szCs w:val="21"/>
                <w:lang w:val="en-US" w:eastAsia="zh-CN" w:bidi="ar-SA"/>
              </w:rPr>
            </w:pPr>
            <w:r>
              <w:rPr>
                <w:rFonts w:hint="eastAsia" w:ascii="宋体" w:hAnsi="宋体" w:cs="宋体"/>
                <w:sz w:val="21"/>
                <w:szCs w:val="21"/>
              </w:rPr>
              <w:t>云南省特种设备安全检测研究院</w:t>
            </w:r>
          </w:p>
        </w:tc>
      </w:tr>
    </w:tbl>
    <w:p/>
    <w:p>
      <w:pPr>
        <w:pStyle w:val="4"/>
        <w:keepNext w:val="0"/>
        <w:keepLines w:val="0"/>
        <w:snapToGrid w:val="0"/>
        <w:spacing w:before="0" w:after="0" w:line="360" w:lineRule="auto"/>
        <w:jc w:val="left"/>
        <w:rPr>
          <w:rFonts w:ascii="宋体" w:hAnsi="宋体" w:cs="宋体"/>
          <w:snapToGrid/>
          <w:kern w:val="2"/>
        </w:rPr>
      </w:pPr>
      <w:bookmarkStart w:id="172" w:name="_Toc15029"/>
      <w:r>
        <w:rPr>
          <w:rFonts w:hint="eastAsia" w:ascii="宋体" w:hAnsi="宋体" w:cs="宋体"/>
          <w:snapToGrid/>
          <w:kern w:val="2"/>
        </w:rPr>
        <w:t>2.4</w:t>
      </w:r>
      <w:r>
        <w:rPr>
          <w:rFonts w:hint="eastAsia" w:ascii="宋体" w:hAnsi="宋体" w:cs="宋体"/>
          <w:snapToGrid/>
          <w:kern w:val="2"/>
          <w:lang w:val="en-US" w:eastAsia="zh-CN"/>
        </w:rPr>
        <w:t xml:space="preserve"> </w:t>
      </w:r>
      <w:r>
        <w:rPr>
          <w:rFonts w:hint="eastAsia" w:ascii="宋体" w:hAnsi="宋体" w:cs="宋体"/>
          <w:snapToGrid/>
          <w:kern w:val="2"/>
        </w:rPr>
        <w:t>项目建设条件</w:t>
      </w:r>
      <w:bookmarkEnd w:id="171"/>
      <w:bookmarkEnd w:id="172"/>
    </w:p>
    <w:p>
      <w:pPr>
        <w:pStyle w:val="5"/>
        <w:keepNext w:val="0"/>
        <w:keepLines w:val="0"/>
        <w:snapToGrid w:val="0"/>
        <w:spacing w:before="0" w:after="0" w:line="360" w:lineRule="auto"/>
        <w:jc w:val="left"/>
        <w:rPr>
          <w:rFonts w:ascii="宋体" w:hAnsi="宋体" w:cs="宋体"/>
          <w:sz w:val="28"/>
          <w:szCs w:val="28"/>
        </w:rPr>
      </w:pPr>
      <w:bookmarkStart w:id="173" w:name="_Toc22369"/>
      <w:bookmarkStart w:id="174" w:name="_Toc23399"/>
      <w:r>
        <w:rPr>
          <w:rFonts w:hint="eastAsia" w:ascii="宋体" w:hAnsi="宋体" w:cs="宋体"/>
          <w:sz w:val="28"/>
          <w:szCs w:val="28"/>
        </w:rPr>
        <w:t>2.4.1地理位置</w:t>
      </w:r>
      <w:bookmarkEnd w:id="173"/>
      <w:bookmarkEnd w:id="174"/>
    </w:p>
    <w:p>
      <w:pPr>
        <w:snapToGrid w:val="0"/>
        <w:spacing w:line="360" w:lineRule="auto"/>
        <w:ind w:firstLine="482"/>
        <w:rPr>
          <w:rFonts w:ascii="宋体" w:hAnsi="宋体" w:cs="宋体"/>
          <w:sz w:val="28"/>
          <w:szCs w:val="28"/>
        </w:rPr>
      </w:pPr>
      <w:r>
        <w:rPr>
          <w:rFonts w:hint="eastAsia" w:ascii="宋体" w:hAnsi="宋体" w:cs="宋体"/>
          <w:sz w:val="28"/>
          <w:szCs w:val="28"/>
        </w:rPr>
        <w:t>本项目位于昆明云内动力工业园区新建第三联合厂房内，园区位于昆明国家级经济技术开发区，该开发区位于昆明市东南角，总占地面积共911亩，距市区4km。东有呈黄公路，西有东绕城线，北有昆石高速和石安公路，距昆明两大铁路客货枢纽中心—昆明南站（客运）4km；距昆明东站（货运）2km。工业园区场地位于开发区羊甫片区东侧，地理位置为东经102°49′，北纬24°54′，海拔1893m。场地三面环山，东靠茶高山，西邻南昆货运站—羊堡站，南面邻昆明市外环高速公路，西面可遥望滇池。区域内交通便捷，地势宽阔，地理位置优越。项目地理位置见图2-1。</w:t>
      </w:r>
    </w:p>
    <w:p>
      <w:pPr>
        <w:jc w:val="center"/>
      </w:pPr>
      <w:r>
        <w:drawing>
          <wp:inline distT="0" distB="0" distL="0" distR="0">
            <wp:extent cx="5198110" cy="30765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98110" cy="3076575"/>
                    </a:xfrm>
                    <a:prstGeom prst="rect">
                      <a:avLst/>
                    </a:prstGeom>
                    <a:noFill/>
                    <a:ln>
                      <a:noFill/>
                    </a:ln>
                  </pic:spPr>
                </pic:pic>
              </a:graphicData>
            </a:graphic>
          </wp:inline>
        </w:drawing>
      </w:r>
    </w:p>
    <w:p>
      <w:pPr>
        <w:jc w:val="center"/>
        <w:rPr>
          <w:bCs/>
          <w:sz w:val="24"/>
        </w:rPr>
      </w:pPr>
      <w:r>
        <w:rPr>
          <w:rFonts w:hint="eastAsia"/>
          <w:bCs/>
          <w:sz w:val="24"/>
        </w:rPr>
        <w:t>图2-1  项目地理位置图</w:t>
      </w:r>
    </w:p>
    <w:p>
      <w:pPr>
        <w:pStyle w:val="5"/>
        <w:keepNext w:val="0"/>
        <w:keepLines w:val="0"/>
        <w:snapToGrid w:val="0"/>
        <w:spacing w:before="0" w:after="0" w:line="360" w:lineRule="auto"/>
        <w:jc w:val="left"/>
        <w:rPr>
          <w:rFonts w:ascii="宋体" w:hAnsi="宋体" w:cs="宋体"/>
          <w:sz w:val="28"/>
          <w:szCs w:val="28"/>
        </w:rPr>
      </w:pPr>
      <w:bookmarkStart w:id="175" w:name="_Toc30575"/>
      <w:bookmarkStart w:id="176" w:name="_Toc2599"/>
      <w:r>
        <w:rPr>
          <w:rFonts w:hint="eastAsia" w:ascii="宋体" w:hAnsi="宋体" w:cs="宋体"/>
          <w:sz w:val="28"/>
          <w:szCs w:val="28"/>
        </w:rPr>
        <w:t>2.4.2周边环境</w:t>
      </w:r>
      <w:bookmarkEnd w:id="175"/>
      <w:bookmarkEnd w:id="176"/>
    </w:p>
    <w:p>
      <w:pPr>
        <w:snapToGrid w:val="0"/>
        <w:spacing w:line="360" w:lineRule="auto"/>
        <w:ind w:firstLine="482"/>
        <w:rPr>
          <w:rFonts w:ascii="宋体" w:hAnsi="宋体" w:cs="宋体"/>
          <w:b/>
          <w:bCs/>
          <w:sz w:val="28"/>
          <w:szCs w:val="28"/>
        </w:rPr>
      </w:pPr>
      <w:r>
        <w:rPr>
          <w:rFonts w:hint="eastAsia" w:ascii="宋体" w:hAnsi="宋体" w:cs="宋体"/>
          <w:b/>
          <w:bCs/>
          <w:sz w:val="28"/>
          <w:szCs w:val="28"/>
        </w:rPr>
        <w:t>一、项目外部环境</w:t>
      </w:r>
    </w:p>
    <w:p>
      <w:pPr>
        <w:snapToGrid w:val="0"/>
        <w:spacing w:line="360" w:lineRule="auto"/>
        <w:ind w:firstLine="482"/>
      </w:pPr>
      <w:r>
        <w:rPr>
          <w:rFonts w:hint="eastAsia" w:ascii="宋体" w:hAnsi="宋体" w:cs="宋体"/>
          <w:sz w:val="28"/>
          <w:szCs w:val="28"/>
        </w:rPr>
        <w:t>项目场地位于经济技术开发区羊甫片区东部，为南北向的不规则椭圆形，项目东靠茶高山，园区围栏外为市政道路，南面170m处为昆明市外环高速公路广福路段。西面围墙外15m处为南昆铁路，南昆铁路以西是出口加工区，西北面是南昆铁路货运站---羊堡站，北边有一条110KV高压走廊，距离园区边缘10m。园区北面围栏外是市政道路，道路以北是国家粮食储备库，该储备库边缘设置有10个500t的立式食用油储罐，距离园区内的建筑40m。</w:t>
      </w:r>
    </w:p>
    <w:p>
      <w:pPr>
        <w:tabs>
          <w:tab w:val="left" w:pos="960"/>
        </w:tabs>
        <w:adjustRightInd w:val="0"/>
        <w:snapToGrid w:val="0"/>
        <w:spacing w:line="360" w:lineRule="auto"/>
        <w:jc w:val="center"/>
        <w:rPr>
          <w:rFonts w:ascii="宋体" w:hAnsi="宋体"/>
          <w:bCs/>
          <w:sz w:val="24"/>
        </w:rPr>
      </w:pPr>
      <w:r>
        <w:rPr>
          <w:rFonts w:hint="eastAsia" w:ascii="宋体" w:hAnsi="宋体"/>
          <w:bCs/>
          <w:sz w:val="24"/>
        </w:rPr>
        <w:t>表2-5外周边环境一览表</w:t>
      </w:r>
    </w:p>
    <w:tbl>
      <w:tblPr>
        <w:tblStyle w:val="52"/>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879"/>
        <w:gridCol w:w="1796"/>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968" w:type="dxa"/>
            <w:noWrap/>
            <w:tcMar>
              <w:left w:w="28" w:type="dxa"/>
              <w:right w:w="28" w:type="dxa"/>
            </w:tcMar>
            <w:vAlign w:val="center"/>
          </w:tcPr>
          <w:p>
            <w:pPr>
              <w:adjustRightInd w:val="0"/>
              <w:snapToGrid w:val="0"/>
              <w:jc w:val="center"/>
              <w:rPr>
                <w:rFonts w:ascii="宋体" w:hAnsi="宋体" w:cs="宋体"/>
                <w:b/>
                <w:kern w:val="0"/>
                <w:sz w:val="24"/>
                <w:lang w:val="en-GB"/>
              </w:rPr>
            </w:pPr>
            <w:r>
              <w:rPr>
                <w:rFonts w:hint="eastAsia" w:ascii="宋体" w:hAnsi="宋体" w:cs="宋体"/>
                <w:b/>
                <w:kern w:val="0"/>
                <w:sz w:val="24"/>
                <w:lang w:val="en-GB"/>
              </w:rPr>
              <w:t>序号</w:t>
            </w:r>
          </w:p>
        </w:tc>
        <w:tc>
          <w:tcPr>
            <w:tcW w:w="2879" w:type="dxa"/>
            <w:noWrap/>
            <w:tcMar>
              <w:left w:w="28" w:type="dxa"/>
              <w:right w:w="28" w:type="dxa"/>
            </w:tcMar>
            <w:vAlign w:val="center"/>
          </w:tcPr>
          <w:p>
            <w:pPr>
              <w:adjustRightInd w:val="0"/>
              <w:snapToGrid w:val="0"/>
              <w:jc w:val="center"/>
              <w:rPr>
                <w:rFonts w:ascii="宋体" w:hAnsi="宋体" w:cs="宋体"/>
                <w:b/>
                <w:kern w:val="0"/>
                <w:sz w:val="24"/>
                <w:lang w:val="en-GB"/>
              </w:rPr>
            </w:pPr>
            <w:r>
              <w:rPr>
                <w:rFonts w:hint="eastAsia" w:ascii="宋体" w:hAnsi="宋体" w:cs="宋体"/>
                <w:b/>
                <w:kern w:val="0"/>
                <w:sz w:val="24"/>
                <w:lang w:val="en-GB"/>
              </w:rPr>
              <w:t>村庄</w:t>
            </w:r>
          </w:p>
        </w:tc>
        <w:tc>
          <w:tcPr>
            <w:tcW w:w="1796" w:type="dxa"/>
            <w:noWrap/>
            <w:tcMar>
              <w:left w:w="28" w:type="dxa"/>
              <w:right w:w="28" w:type="dxa"/>
            </w:tcMar>
            <w:vAlign w:val="center"/>
          </w:tcPr>
          <w:p>
            <w:pPr>
              <w:adjustRightInd w:val="0"/>
              <w:snapToGrid w:val="0"/>
              <w:jc w:val="center"/>
              <w:rPr>
                <w:rFonts w:ascii="宋体" w:hAnsi="宋体" w:cs="宋体"/>
                <w:b/>
                <w:kern w:val="0"/>
                <w:sz w:val="24"/>
                <w:lang w:val="en-GB"/>
              </w:rPr>
            </w:pPr>
            <w:r>
              <w:rPr>
                <w:rFonts w:hint="eastAsia" w:ascii="宋体" w:hAnsi="宋体" w:cs="宋体"/>
                <w:b/>
                <w:kern w:val="0"/>
                <w:sz w:val="24"/>
                <w:lang w:val="en-GB"/>
              </w:rPr>
              <w:t>方位</w:t>
            </w:r>
          </w:p>
        </w:tc>
        <w:tc>
          <w:tcPr>
            <w:tcW w:w="2995" w:type="dxa"/>
            <w:noWrap/>
            <w:tcMar>
              <w:left w:w="28" w:type="dxa"/>
              <w:right w:w="28" w:type="dxa"/>
            </w:tcMar>
            <w:vAlign w:val="center"/>
          </w:tcPr>
          <w:p>
            <w:pPr>
              <w:adjustRightInd w:val="0"/>
              <w:snapToGrid w:val="0"/>
              <w:jc w:val="center"/>
              <w:rPr>
                <w:rFonts w:ascii="宋体" w:hAnsi="宋体" w:cs="宋体"/>
                <w:b/>
                <w:kern w:val="0"/>
                <w:sz w:val="24"/>
                <w:lang w:val="en-GB"/>
              </w:rPr>
            </w:pPr>
            <w:r>
              <w:rPr>
                <w:rFonts w:hint="eastAsia" w:ascii="宋体" w:hAnsi="宋体" w:cs="宋体"/>
                <w:b/>
                <w:kern w:val="0"/>
                <w:sz w:val="24"/>
                <w:lang w:val="en-GB"/>
              </w:rPr>
              <w:t>距厂界最近距离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968"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1</w:t>
            </w:r>
          </w:p>
        </w:tc>
        <w:tc>
          <w:tcPr>
            <w:tcW w:w="2879" w:type="dxa"/>
            <w:noWrap/>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市政道路</w:t>
            </w:r>
          </w:p>
        </w:tc>
        <w:tc>
          <w:tcPr>
            <w:tcW w:w="1796"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东</w:t>
            </w:r>
          </w:p>
        </w:tc>
        <w:tc>
          <w:tcPr>
            <w:tcW w:w="2995" w:type="dxa"/>
            <w:noWrap/>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968"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2</w:t>
            </w:r>
          </w:p>
        </w:tc>
        <w:tc>
          <w:tcPr>
            <w:tcW w:w="2879" w:type="dxa"/>
            <w:noWrap/>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广福路</w:t>
            </w:r>
          </w:p>
        </w:tc>
        <w:tc>
          <w:tcPr>
            <w:tcW w:w="1796"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南</w:t>
            </w:r>
          </w:p>
        </w:tc>
        <w:tc>
          <w:tcPr>
            <w:tcW w:w="2995"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170</w:t>
            </w:r>
            <w:r>
              <w:rPr>
                <w:rFonts w:hint="eastAsia" w:ascii="宋体" w:hAnsi="宋体" w:cs="宋体"/>
                <w:kern w:val="0"/>
                <w:szCs w:val="21"/>
                <w:lang w:val="en-GB"/>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968"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3</w:t>
            </w:r>
          </w:p>
        </w:tc>
        <w:tc>
          <w:tcPr>
            <w:tcW w:w="2879" w:type="dxa"/>
            <w:noWrap/>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围墙外南昆铁路</w:t>
            </w:r>
          </w:p>
        </w:tc>
        <w:tc>
          <w:tcPr>
            <w:tcW w:w="1796"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西</w:t>
            </w:r>
          </w:p>
        </w:tc>
        <w:tc>
          <w:tcPr>
            <w:tcW w:w="2995"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15</w:t>
            </w:r>
            <w:r>
              <w:rPr>
                <w:rFonts w:hint="eastAsia" w:ascii="宋体" w:hAnsi="宋体" w:cs="宋体"/>
                <w:kern w:val="0"/>
                <w:szCs w:val="21"/>
                <w:lang w:val="en-GB"/>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968"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4</w:t>
            </w:r>
          </w:p>
        </w:tc>
        <w:tc>
          <w:tcPr>
            <w:tcW w:w="2879"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bCs/>
                <w:szCs w:val="21"/>
              </w:rPr>
              <w:t>铁路货运站—羊堡站</w:t>
            </w:r>
          </w:p>
        </w:tc>
        <w:tc>
          <w:tcPr>
            <w:tcW w:w="1796"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西</w:t>
            </w:r>
            <w:r>
              <w:rPr>
                <w:rFonts w:hint="eastAsia" w:ascii="宋体" w:hAnsi="宋体" w:cs="宋体"/>
                <w:kern w:val="0"/>
                <w:szCs w:val="21"/>
                <w:lang w:val="en-GB"/>
              </w:rPr>
              <w:t>北</w:t>
            </w:r>
          </w:p>
        </w:tc>
        <w:tc>
          <w:tcPr>
            <w:tcW w:w="2995" w:type="dxa"/>
            <w:noWrap/>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968"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5</w:t>
            </w:r>
          </w:p>
        </w:tc>
        <w:tc>
          <w:tcPr>
            <w:tcW w:w="2879"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市政道路</w:t>
            </w:r>
          </w:p>
        </w:tc>
        <w:tc>
          <w:tcPr>
            <w:tcW w:w="1796"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北</w:t>
            </w:r>
          </w:p>
        </w:tc>
        <w:tc>
          <w:tcPr>
            <w:tcW w:w="2995"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10</w:t>
            </w:r>
            <w:r>
              <w:rPr>
                <w:rFonts w:hint="eastAsia" w:ascii="宋体" w:hAnsi="宋体" w:cs="宋体"/>
                <w:kern w:val="0"/>
                <w:szCs w:val="21"/>
                <w:lang w:val="en-GB"/>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968"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6</w:t>
            </w:r>
          </w:p>
        </w:tc>
        <w:tc>
          <w:tcPr>
            <w:tcW w:w="2879"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110KV高压走廊</w:t>
            </w:r>
          </w:p>
        </w:tc>
        <w:tc>
          <w:tcPr>
            <w:tcW w:w="1796"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北</w:t>
            </w:r>
          </w:p>
        </w:tc>
        <w:tc>
          <w:tcPr>
            <w:tcW w:w="2995"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68"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7</w:t>
            </w:r>
          </w:p>
        </w:tc>
        <w:tc>
          <w:tcPr>
            <w:tcW w:w="2879"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立式食用油储罐</w:t>
            </w:r>
          </w:p>
        </w:tc>
        <w:tc>
          <w:tcPr>
            <w:tcW w:w="1796"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lang w:val="en-GB"/>
              </w:rPr>
              <w:t>北</w:t>
            </w:r>
          </w:p>
        </w:tc>
        <w:tc>
          <w:tcPr>
            <w:tcW w:w="2995" w:type="dxa"/>
            <w:noWrap/>
            <w:tcMar>
              <w:left w:w="28" w:type="dxa"/>
              <w:right w:w="28" w:type="dxa"/>
            </w:tcMar>
            <w:vAlign w:val="center"/>
          </w:tcPr>
          <w:p>
            <w:pPr>
              <w:adjustRightInd w:val="0"/>
              <w:snapToGrid w:val="0"/>
              <w:jc w:val="center"/>
              <w:rPr>
                <w:rFonts w:ascii="宋体" w:hAnsi="宋体" w:cs="宋体"/>
                <w:kern w:val="0"/>
                <w:szCs w:val="21"/>
                <w:lang w:val="en-GB"/>
              </w:rPr>
            </w:pPr>
            <w:r>
              <w:rPr>
                <w:rFonts w:hint="eastAsia" w:ascii="宋体" w:hAnsi="宋体" w:cs="宋体"/>
                <w:kern w:val="0"/>
                <w:szCs w:val="21"/>
              </w:rPr>
              <w:t>40</w:t>
            </w:r>
            <w:r>
              <w:rPr>
                <w:rFonts w:hint="eastAsia" w:ascii="宋体" w:hAnsi="宋体" w:cs="宋体"/>
                <w:kern w:val="0"/>
                <w:szCs w:val="21"/>
                <w:lang w:val="en-GB"/>
              </w:rPr>
              <w:t>m</w:t>
            </w:r>
          </w:p>
        </w:tc>
      </w:tr>
    </w:tbl>
    <w:p>
      <w:pPr>
        <w:pStyle w:val="51"/>
        <w:ind w:firstLine="0" w:firstLineChars="0"/>
        <w:jc w:val="center"/>
        <w:rPr>
          <w:rFonts w:ascii="宋体" w:hAnsi="宋体" w:cs="宋体"/>
          <w:bCs/>
          <w:sz w:val="24"/>
        </w:rPr>
      </w:pPr>
      <w:r>
        <w:rPr>
          <w:rFonts w:hint="eastAsia" w:ascii="宋体" w:hAnsi="宋体" w:cs="宋体"/>
          <w:sz w:val="28"/>
          <w:szCs w:val="28"/>
        </w:rPr>
        <w:drawing>
          <wp:inline distT="0" distB="0" distL="114300" distR="114300">
            <wp:extent cx="4600575" cy="2962275"/>
            <wp:effectExtent l="0" t="0" r="9525" b="9525"/>
            <wp:docPr id="26" name="图片 2" descr="C:\Users\LENOVO\Desktop\微信截图_20230504142305.png微信截图_202305041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LENOVO\Desktop\微信截图_20230504142305.png微信截图_20230504142305"/>
                    <pic:cNvPicPr>
                      <a:picLocks noChangeAspect="1"/>
                    </pic:cNvPicPr>
                  </pic:nvPicPr>
                  <pic:blipFill>
                    <a:blip r:embed="rId13"/>
                    <a:stretch>
                      <a:fillRect/>
                    </a:stretch>
                  </pic:blipFill>
                  <pic:spPr>
                    <a:xfrm>
                      <a:off x="0" y="0"/>
                      <a:ext cx="4600575" cy="2962275"/>
                    </a:xfrm>
                    <a:prstGeom prst="rect">
                      <a:avLst/>
                    </a:prstGeom>
                    <a:noFill/>
                    <a:ln>
                      <a:noFill/>
                    </a:ln>
                  </pic:spPr>
                </pic:pic>
              </a:graphicData>
            </a:graphic>
          </wp:inline>
        </w:drawing>
      </w:r>
    </w:p>
    <w:p>
      <w:pPr>
        <w:pStyle w:val="51"/>
        <w:ind w:firstLine="0" w:firstLineChars="0"/>
        <w:jc w:val="center"/>
        <w:rPr>
          <w:rFonts w:ascii="宋体" w:hAnsi="宋体" w:cs="宋体"/>
          <w:bCs/>
          <w:sz w:val="24"/>
        </w:rPr>
      </w:pPr>
      <w:r>
        <w:rPr>
          <w:rFonts w:hint="eastAsia" w:ascii="宋体" w:hAnsi="宋体" w:cs="宋体"/>
          <w:bCs/>
          <w:sz w:val="24"/>
        </w:rPr>
        <w:t>图2-2 项目周边环境图</w:t>
      </w:r>
    </w:p>
    <w:p>
      <w:pPr>
        <w:numPr>
          <w:ilvl w:val="0"/>
          <w:numId w:val="7"/>
        </w:numPr>
        <w:snapToGrid w:val="0"/>
        <w:spacing w:line="360" w:lineRule="auto"/>
        <w:ind w:firstLine="482"/>
        <w:rPr>
          <w:rFonts w:ascii="宋体" w:hAnsi="宋体" w:cs="宋体"/>
          <w:b/>
          <w:bCs/>
          <w:sz w:val="28"/>
          <w:szCs w:val="28"/>
        </w:rPr>
      </w:pPr>
      <w:r>
        <w:rPr>
          <w:rFonts w:hint="eastAsia" w:ascii="宋体" w:hAnsi="宋体" w:cs="宋体"/>
          <w:b/>
          <w:bCs/>
          <w:sz w:val="28"/>
          <w:szCs w:val="28"/>
        </w:rPr>
        <w:t>项目内部环境</w:t>
      </w:r>
    </w:p>
    <w:p>
      <w:pPr>
        <w:snapToGrid w:val="0"/>
        <w:spacing w:line="360" w:lineRule="auto"/>
        <w:ind w:firstLine="482"/>
        <w:rPr>
          <w:rFonts w:ascii="宋体" w:hAnsi="宋体" w:cs="宋体"/>
          <w:color w:val="FF0000"/>
          <w:sz w:val="28"/>
          <w:szCs w:val="28"/>
        </w:rPr>
      </w:pPr>
      <w:r>
        <w:rPr>
          <w:rFonts w:hint="eastAsia" w:ascii="宋体" w:hAnsi="宋体" w:cs="宋体"/>
          <w:sz w:val="28"/>
          <w:szCs w:val="28"/>
        </w:rPr>
        <w:t>第三联合厂房（机体加工、缸盖加工、装配）北侧28.9m为第一发动机联合厂房；西侧30m处为垃圾回收站，西侧33m处为污水处理站，西侧42m处为油库，西侧36m处为化学品库；东侧50m处为物流配送中心，南侧24m处为研发中心；东南侧58m处为第四联合厂房</w:t>
      </w:r>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sz w:val="28"/>
          <w:szCs w:val="28"/>
        </w:rPr>
        <w:t>项目厂内总平面布置具</w:t>
      </w:r>
      <w:r>
        <w:rPr>
          <w:rFonts w:hint="eastAsia" w:ascii="宋体" w:hAnsi="宋体" w:cs="宋体"/>
          <w:color w:val="000000" w:themeColor="text1"/>
          <w:sz w:val="28"/>
          <w:szCs w:val="28"/>
          <w14:textFill>
            <w14:solidFill>
              <w14:schemeClr w14:val="tx1"/>
            </w14:solidFill>
          </w14:textFill>
        </w:rPr>
        <w:t>体见附件。</w:t>
      </w:r>
    </w:p>
    <w:p>
      <w:pPr>
        <w:pStyle w:val="2"/>
        <w:jc w:val="center"/>
      </w:pPr>
      <w:r>
        <w:rPr>
          <w:rFonts w:hint="eastAsia"/>
        </w:rPr>
        <w:drawing>
          <wp:inline distT="0" distB="0" distL="114300" distR="114300">
            <wp:extent cx="5687060" cy="4345305"/>
            <wp:effectExtent l="0" t="0" r="8890" b="17145"/>
            <wp:docPr id="27" name="图片 27" descr="C:\Users\LENOVO\Desktop\1-厂区总平面布置图_t3_t3 总图2 (1)_00.png1-厂区总平面布置图_t3_t3 总图2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1-厂区总平面布置图_t3_t3 总图2 (1)_00.png1-厂区总平面布置图_t3_t3 总图2 (1)_00"/>
                    <pic:cNvPicPr>
                      <a:picLocks noChangeAspect="1"/>
                    </pic:cNvPicPr>
                  </pic:nvPicPr>
                  <pic:blipFill>
                    <a:blip r:embed="rId14"/>
                    <a:srcRect/>
                    <a:stretch>
                      <a:fillRect/>
                    </a:stretch>
                  </pic:blipFill>
                  <pic:spPr>
                    <a:xfrm>
                      <a:off x="0" y="0"/>
                      <a:ext cx="5687060" cy="4345305"/>
                    </a:xfrm>
                    <a:prstGeom prst="rect">
                      <a:avLst/>
                    </a:prstGeom>
                  </pic:spPr>
                </pic:pic>
              </a:graphicData>
            </a:graphic>
          </wp:inline>
        </w:drawing>
      </w:r>
    </w:p>
    <w:p>
      <w:pPr>
        <w:pStyle w:val="2"/>
        <w:jc w:val="center"/>
      </w:pPr>
      <w:r>
        <w:rPr>
          <w:rFonts w:hint="eastAsia"/>
        </w:rPr>
        <w:t>项目厂区内部环境图</w:t>
      </w:r>
    </w:p>
    <w:p>
      <w:pPr>
        <w:pStyle w:val="2"/>
      </w:pPr>
    </w:p>
    <w:p>
      <w:pPr>
        <w:pStyle w:val="5"/>
        <w:keepNext w:val="0"/>
        <w:keepLines w:val="0"/>
        <w:snapToGrid w:val="0"/>
        <w:spacing w:before="0" w:after="0" w:line="360" w:lineRule="auto"/>
        <w:jc w:val="left"/>
        <w:rPr>
          <w:rFonts w:ascii="宋体" w:hAnsi="宋体" w:cs="宋体"/>
          <w:sz w:val="28"/>
          <w:szCs w:val="28"/>
        </w:rPr>
      </w:pPr>
      <w:bookmarkStart w:id="177" w:name="_Toc515093450"/>
      <w:bookmarkStart w:id="178" w:name="_Toc7788"/>
      <w:bookmarkStart w:id="179" w:name="_Toc278151344"/>
      <w:bookmarkStart w:id="180" w:name="_Toc11573"/>
      <w:bookmarkStart w:id="181" w:name="_Toc347837260"/>
      <w:r>
        <w:rPr>
          <w:rFonts w:hint="eastAsia" w:ascii="宋体" w:hAnsi="宋体" w:cs="宋体"/>
          <w:sz w:val="28"/>
          <w:szCs w:val="28"/>
        </w:rPr>
        <w:t>2.4.3气象条件</w:t>
      </w:r>
      <w:bookmarkEnd w:id="177"/>
      <w:bookmarkEnd w:id="178"/>
    </w:p>
    <w:p>
      <w:pPr>
        <w:snapToGrid w:val="0"/>
        <w:spacing w:line="360" w:lineRule="auto"/>
        <w:ind w:firstLine="482"/>
        <w:rPr>
          <w:rFonts w:ascii="宋体" w:hAnsi="宋体" w:cs="宋体"/>
          <w:sz w:val="28"/>
          <w:szCs w:val="28"/>
        </w:rPr>
      </w:pPr>
      <w:bookmarkStart w:id="182" w:name="_Toc515093451"/>
      <w:r>
        <w:rPr>
          <w:rFonts w:hint="eastAsia" w:ascii="宋体" w:hAnsi="宋体" w:cs="宋体"/>
          <w:sz w:val="28"/>
          <w:szCs w:val="28"/>
        </w:rPr>
        <w:t>项目区属亚热带高原季风温良气候区。具有冬暖夏凉、干湿分明的气候特点。年平均气压810500Pa；年平均气温14.6℃，最热月份为7月，平均温度20.2℃，极端高温30.4℃（1983.5.24），最冷月份为1月，平均气温9.3℃，极端低温-8.1℃（1983.12.29）；最大积雪厚度17cm，年平均相对湿度73%；年平均日照时数2400h；常年主导风向为西南风，年平均风速2.2m/s，20年一遇最大风速23.7m/s。</w:t>
      </w:r>
    </w:p>
    <w:p>
      <w:pPr>
        <w:snapToGrid w:val="0"/>
        <w:spacing w:line="360" w:lineRule="auto"/>
        <w:ind w:firstLine="482"/>
        <w:rPr>
          <w:rFonts w:ascii="宋体" w:hAnsi="宋体" w:cs="宋体"/>
          <w:sz w:val="28"/>
          <w:szCs w:val="28"/>
        </w:rPr>
      </w:pPr>
      <w:r>
        <w:rPr>
          <w:rFonts w:hint="eastAsia" w:ascii="宋体" w:hAnsi="宋体" w:cs="宋体"/>
          <w:sz w:val="28"/>
          <w:szCs w:val="28"/>
        </w:rPr>
        <w:t>春冬干旱、夏秋多雨，年平均降水量1006.6mm，降雨集中在6～10月（约占全年降水量80%），其中一月降水量最少，平均117mm，8月最高，达2059mm，11月～次年5月为旱季（降水量占全年降水量20%）。</w:t>
      </w:r>
    </w:p>
    <w:p>
      <w:pPr>
        <w:snapToGrid w:val="0"/>
        <w:spacing w:line="360" w:lineRule="auto"/>
        <w:ind w:firstLine="482"/>
        <w:rPr>
          <w:rFonts w:ascii="宋体" w:hAnsi="宋体" w:cs="宋体"/>
          <w:sz w:val="28"/>
          <w:szCs w:val="28"/>
        </w:rPr>
      </w:pPr>
      <w:r>
        <w:rPr>
          <w:rFonts w:hint="eastAsia" w:ascii="宋体" w:hAnsi="宋体" w:cs="宋体"/>
          <w:sz w:val="28"/>
          <w:szCs w:val="28"/>
        </w:rPr>
        <w:t>项目所在地平均海拔约1006m左右，气候温暖属亚热带高原季风温良气候区，干雨季分明，年平均降雨量约900-1000mm，年平均气温9.3℃，年平均相对湿度73%，雨季集中在6-10月，自然条件较为优越。</w:t>
      </w:r>
    </w:p>
    <w:p>
      <w:pPr>
        <w:pStyle w:val="5"/>
        <w:keepNext w:val="0"/>
        <w:keepLines w:val="0"/>
        <w:snapToGrid w:val="0"/>
        <w:spacing w:before="0" w:after="0" w:line="360" w:lineRule="auto"/>
        <w:jc w:val="left"/>
        <w:rPr>
          <w:rFonts w:ascii="宋体" w:hAnsi="宋体" w:cs="宋体"/>
          <w:sz w:val="28"/>
          <w:szCs w:val="28"/>
        </w:rPr>
      </w:pPr>
      <w:bookmarkStart w:id="183" w:name="_Toc6119"/>
      <w:r>
        <w:rPr>
          <w:rFonts w:hint="eastAsia" w:ascii="宋体" w:hAnsi="宋体" w:cs="宋体"/>
          <w:sz w:val="28"/>
          <w:szCs w:val="28"/>
        </w:rPr>
        <w:t>2.4.4地质</w:t>
      </w:r>
      <w:bookmarkEnd w:id="182"/>
      <w:r>
        <w:rPr>
          <w:rFonts w:hint="eastAsia" w:ascii="宋体" w:hAnsi="宋体" w:cs="宋体"/>
          <w:sz w:val="28"/>
          <w:szCs w:val="28"/>
        </w:rPr>
        <w:t>条件</w:t>
      </w:r>
      <w:bookmarkEnd w:id="183"/>
    </w:p>
    <w:bookmarkEnd w:id="179"/>
    <w:p>
      <w:pPr>
        <w:snapToGrid w:val="0"/>
        <w:spacing w:line="360" w:lineRule="auto"/>
        <w:ind w:firstLine="482"/>
        <w:rPr>
          <w:rFonts w:ascii="宋体" w:hAnsi="宋体" w:cs="宋体"/>
          <w:sz w:val="28"/>
          <w:szCs w:val="28"/>
        </w:rPr>
      </w:pPr>
      <w:r>
        <w:rPr>
          <w:rFonts w:hint="eastAsia" w:ascii="宋体" w:hAnsi="宋体" w:cs="宋体"/>
          <w:sz w:val="28"/>
          <w:szCs w:val="28"/>
        </w:rPr>
        <w:t>根据《昆明云内动力股份有限公司G系列节能环保轻型商用车汽油机产业化建设项目安全设施设计》可知，场地位于扬子准地台西部川滇台背斜与滇东台褶带之交汇部位，西部构造单元为普渡河～西山断裂，东部构造单元为小江断裂。场地所处构造区域为西山断裂与小江断裂夹持地带，区内次级断裂构造较为发育，其中规模较大且靠近场地的断裂有黑龙潭～官渡断裂及白邑～横冲断裂。</w:t>
      </w:r>
    </w:p>
    <w:p>
      <w:pPr>
        <w:snapToGrid w:val="0"/>
        <w:spacing w:line="360" w:lineRule="auto"/>
        <w:ind w:firstLine="482"/>
        <w:rPr>
          <w:rFonts w:ascii="宋体" w:hAnsi="宋体" w:cs="宋体"/>
          <w:sz w:val="28"/>
          <w:szCs w:val="28"/>
        </w:rPr>
      </w:pPr>
      <w:r>
        <w:rPr>
          <w:rFonts w:hint="eastAsia" w:ascii="宋体" w:hAnsi="宋体" w:cs="宋体"/>
          <w:sz w:val="28"/>
          <w:szCs w:val="28"/>
        </w:rPr>
        <w:t>场地位于黑龙潭～官渡断裂及白邑～横冲断裂两基底断裂夹持地带，次级断裂较为发育，其中规模较大且穿越场地的断裂有Fa断层。</w:t>
      </w:r>
    </w:p>
    <w:p>
      <w:pPr>
        <w:snapToGrid w:val="0"/>
        <w:spacing w:line="360" w:lineRule="auto"/>
        <w:ind w:firstLine="482"/>
        <w:rPr>
          <w:rFonts w:ascii="宋体" w:hAnsi="宋体" w:cs="宋体"/>
          <w:sz w:val="28"/>
          <w:szCs w:val="28"/>
        </w:rPr>
      </w:pPr>
      <w:r>
        <w:rPr>
          <w:rFonts w:hint="eastAsia" w:ascii="宋体" w:hAnsi="宋体" w:cs="宋体"/>
          <w:sz w:val="28"/>
          <w:szCs w:val="28"/>
        </w:rPr>
        <w:t>Fa断层北起西邑村以东，南延进入场地后隐伏于第四系地层之下，全长约2.5km，走向近南北，断层面东倾，倾角65～75°，属亚扭性质，断层带宽0.5～5m。对断层沿线新开挖断面观察，未发现断层以上第四系覆土产生错断现象，此外，因Fa断层属规模较小的次级断裂，断层力学性质为压扭性，断裂带组成物质单一、紧密、力学强度较高，所以，本项目建设可不考虑Fa断层的影响。场地地质勘察报告表明，场地为稳定和基本稳定地建筑场地。</w:t>
      </w:r>
    </w:p>
    <w:p>
      <w:pPr>
        <w:pStyle w:val="5"/>
        <w:keepNext w:val="0"/>
        <w:keepLines w:val="0"/>
        <w:snapToGrid w:val="0"/>
        <w:spacing w:before="0" w:after="0" w:line="360" w:lineRule="auto"/>
        <w:jc w:val="left"/>
        <w:rPr>
          <w:rFonts w:ascii="宋体" w:hAnsi="宋体" w:cs="宋体"/>
          <w:sz w:val="28"/>
          <w:szCs w:val="28"/>
        </w:rPr>
      </w:pPr>
      <w:bookmarkStart w:id="184" w:name="_Toc269"/>
      <w:r>
        <w:rPr>
          <w:rFonts w:hint="eastAsia" w:ascii="宋体" w:hAnsi="宋体" w:cs="宋体"/>
          <w:sz w:val="28"/>
          <w:szCs w:val="28"/>
        </w:rPr>
        <w:t>2.4.5水文条件</w:t>
      </w:r>
      <w:bookmarkEnd w:id="184"/>
    </w:p>
    <w:p>
      <w:pPr>
        <w:snapToGrid w:val="0"/>
        <w:spacing w:line="360" w:lineRule="auto"/>
        <w:ind w:firstLine="482"/>
      </w:pPr>
      <w:r>
        <w:rPr>
          <w:rFonts w:hint="eastAsia" w:ascii="宋体" w:hAnsi="宋体" w:cs="宋体"/>
          <w:sz w:val="28"/>
          <w:szCs w:val="28"/>
        </w:rPr>
        <w:t>场地内地下水由基岩裂隙水为主组成，地基土以弱透水层为主，未发现强透水层和富水结构，地下水主要靠大气降水及基岩裂隙水补给，以蒸发和径流方式排泄。地下水对基础混凝土结构和钢筋砼结构中钢筋无腐蚀性，对外露钢筋具有弱腐蚀性。</w:t>
      </w:r>
    </w:p>
    <w:p>
      <w:pPr>
        <w:pStyle w:val="5"/>
        <w:keepNext w:val="0"/>
        <w:keepLines w:val="0"/>
        <w:snapToGrid w:val="0"/>
        <w:spacing w:before="0" w:after="0" w:line="360" w:lineRule="auto"/>
        <w:jc w:val="left"/>
        <w:rPr>
          <w:rFonts w:ascii="宋体" w:hAnsi="宋体" w:cs="宋体"/>
          <w:sz w:val="28"/>
          <w:szCs w:val="28"/>
        </w:rPr>
      </w:pPr>
      <w:bookmarkStart w:id="185" w:name="_Toc8714"/>
      <w:r>
        <w:rPr>
          <w:rFonts w:hint="eastAsia" w:ascii="宋体" w:hAnsi="宋体" w:cs="宋体"/>
          <w:sz w:val="28"/>
          <w:szCs w:val="28"/>
        </w:rPr>
        <w:t>2.4.6地震</w:t>
      </w:r>
      <w:bookmarkEnd w:id="185"/>
    </w:p>
    <w:p>
      <w:pPr>
        <w:snapToGrid w:val="0"/>
        <w:spacing w:line="360" w:lineRule="auto"/>
        <w:ind w:firstLine="482"/>
        <w:rPr>
          <w:rFonts w:ascii="宋体" w:hAnsi="宋体" w:cs="宋体"/>
          <w:sz w:val="28"/>
          <w:szCs w:val="28"/>
        </w:rPr>
      </w:pPr>
      <w:r>
        <w:rPr>
          <w:rFonts w:hint="eastAsia" w:ascii="宋体" w:hAnsi="宋体" w:cs="宋体"/>
          <w:sz w:val="28"/>
          <w:szCs w:val="28"/>
        </w:rPr>
        <w:t>根据《建筑抗震设计规范》（GB50011-2010），项目所在区域抗震设防烈度为8度，设计基本地震加速度值为0.20g，设计地震分组为第二组。</w:t>
      </w:r>
    </w:p>
    <w:bookmarkEnd w:id="152"/>
    <w:bookmarkEnd w:id="155"/>
    <w:bookmarkEnd w:id="156"/>
    <w:bookmarkEnd w:id="157"/>
    <w:bookmarkEnd w:id="180"/>
    <w:bookmarkEnd w:id="181"/>
    <w:p>
      <w:pPr>
        <w:pStyle w:val="4"/>
        <w:keepNext w:val="0"/>
        <w:keepLines w:val="0"/>
        <w:snapToGrid w:val="0"/>
        <w:spacing w:before="0" w:after="0" w:line="360" w:lineRule="auto"/>
        <w:jc w:val="left"/>
        <w:rPr>
          <w:rFonts w:ascii="宋体" w:hAnsi="宋体" w:cs="宋体"/>
          <w:snapToGrid/>
          <w:kern w:val="2"/>
        </w:rPr>
      </w:pPr>
      <w:bookmarkStart w:id="186" w:name="_Toc21046"/>
      <w:bookmarkStart w:id="187" w:name="_Toc14418"/>
      <w:bookmarkStart w:id="188" w:name="_Toc316984861"/>
      <w:bookmarkStart w:id="189" w:name="_Toc204424750"/>
      <w:bookmarkStart w:id="190" w:name="_Toc522025241"/>
      <w:r>
        <w:rPr>
          <w:rFonts w:hint="eastAsia" w:ascii="宋体" w:hAnsi="宋体" w:cs="宋体"/>
          <w:snapToGrid/>
          <w:kern w:val="2"/>
        </w:rPr>
        <w:t>2.5</w:t>
      </w:r>
      <w:r>
        <w:rPr>
          <w:rFonts w:hint="eastAsia" w:ascii="宋体" w:hAnsi="宋体" w:cs="宋体"/>
          <w:snapToGrid/>
          <w:kern w:val="2"/>
          <w:lang w:val="en-US" w:eastAsia="zh-CN"/>
        </w:rPr>
        <w:t xml:space="preserve"> </w:t>
      </w:r>
      <w:r>
        <w:rPr>
          <w:rFonts w:hint="eastAsia" w:ascii="宋体" w:hAnsi="宋体" w:cs="宋体"/>
          <w:snapToGrid/>
          <w:kern w:val="2"/>
        </w:rPr>
        <w:t>总平面布置和运输</w:t>
      </w:r>
      <w:bookmarkEnd w:id="186"/>
      <w:bookmarkEnd w:id="187"/>
    </w:p>
    <w:p>
      <w:pPr>
        <w:pStyle w:val="5"/>
        <w:keepNext w:val="0"/>
        <w:keepLines w:val="0"/>
        <w:snapToGrid w:val="0"/>
        <w:spacing w:before="0" w:after="0" w:line="360" w:lineRule="auto"/>
        <w:jc w:val="left"/>
        <w:rPr>
          <w:rFonts w:ascii="宋体" w:hAnsi="宋体" w:cs="宋体"/>
          <w:sz w:val="28"/>
          <w:szCs w:val="28"/>
        </w:rPr>
      </w:pPr>
      <w:bookmarkStart w:id="191" w:name="_Toc24200"/>
      <w:bookmarkStart w:id="192" w:name="_Toc20220"/>
      <w:r>
        <w:rPr>
          <w:rFonts w:hint="eastAsia" w:ascii="宋体" w:hAnsi="宋体" w:cs="宋体"/>
          <w:sz w:val="28"/>
          <w:szCs w:val="28"/>
        </w:rPr>
        <w:t>2.5.1总平面布置</w:t>
      </w:r>
      <w:bookmarkEnd w:id="191"/>
      <w:bookmarkEnd w:id="192"/>
    </w:p>
    <w:p>
      <w:pPr>
        <w:snapToGrid w:val="0"/>
        <w:spacing w:line="360" w:lineRule="auto"/>
        <w:ind w:firstLine="560" w:firstLineChars="200"/>
      </w:pPr>
      <w:r>
        <w:rPr>
          <w:rFonts w:hint="eastAsia" w:ascii="宋体" w:hAnsi="宋体" w:cs="宋体"/>
          <w:sz w:val="28"/>
          <w:szCs w:val="28"/>
        </w:rPr>
        <w:t>云内动力工业园场地为南北向的不规则椭圆形，园区南大门为主入口，园区内三条南北向的道路将园区分为东、中、西三个区域。东部区域由北向南依次布置有浴室、变电站、第二发动机联合厂房、物流配送中心、技测中心；中部区域从北向南依次布置有铸造厂房、第一发动机联合厂房、第三发动机联合厂房、研发中心；西部区域由北向南依次布置有堆场、第二成品库厂房、食堂、成品库、油库、化学品库、消防水泵站、污水处理站、垃圾回收站；在园区南面道路外为二食堂和员工倒班楼。</w:t>
      </w:r>
    </w:p>
    <w:p>
      <w:pPr>
        <w:snapToGrid w:val="0"/>
        <w:spacing w:line="360" w:lineRule="auto"/>
        <w:ind w:firstLine="560" w:firstLineChars="200"/>
        <w:rPr>
          <w:rFonts w:ascii="宋体" w:hAnsi="宋体" w:cs="宋体"/>
          <w:sz w:val="28"/>
          <w:szCs w:val="28"/>
        </w:rPr>
      </w:pPr>
      <w:bookmarkStart w:id="193" w:name="_Toc270948108"/>
      <w:bookmarkStart w:id="194" w:name="_Toc347837272"/>
      <w:bookmarkStart w:id="195" w:name="_Toc7726"/>
      <w:r>
        <w:rPr>
          <w:rFonts w:hint="eastAsia" w:ascii="宋体" w:hAnsi="宋体" w:cs="宋体"/>
          <w:sz w:val="28"/>
          <w:szCs w:val="28"/>
        </w:rPr>
        <w:t>本项目新建第三联合厂房，</w:t>
      </w:r>
      <w:r>
        <w:rPr>
          <w:rFonts w:hint="eastAsia" w:ascii="宋体" w:hAnsi="宋体" w:cs="宋体"/>
          <w:sz w:val="28"/>
          <w:szCs w:val="28"/>
          <w:lang w:val="en-GB"/>
        </w:rPr>
        <w:t>建设G系列节能环保轻型商用车汽油机产品的缸体缸盖机加工生产线及装试生产线。</w:t>
      </w:r>
      <w:r>
        <w:rPr>
          <w:rFonts w:hint="eastAsia" w:ascii="宋体" w:hAnsi="宋体" w:cs="宋体"/>
          <w:sz w:val="28"/>
          <w:szCs w:val="28"/>
        </w:rPr>
        <w:t>新增建筑面积61152㎡。</w:t>
      </w:r>
      <w:r>
        <w:rPr>
          <w:rFonts w:hint="eastAsia" w:ascii="宋体" w:hAnsi="宋体" w:cs="宋体"/>
          <w:sz w:val="28"/>
          <w:szCs w:val="28"/>
          <w:lang w:val="en-GB"/>
        </w:rPr>
        <w:t>生产纲领为G系列节能环保轻型商用车汽油机产品10万台/年。</w:t>
      </w:r>
    </w:p>
    <w:p>
      <w:pPr>
        <w:snapToGrid w:val="0"/>
        <w:spacing w:line="360" w:lineRule="auto"/>
        <w:ind w:firstLine="560" w:firstLineChars="200"/>
        <w:jc w:val="left"/>
        <w:rPr>
          <w:rFonts w:ascii="宋体" w:hAnsi="宋体" w:cs="宋体"/>
          <w:color w:val="FF0000"/>
          <w:sz w:val="28"/>
          <w:szCs w:val="28"/>
        </w:rPr>
      </w:pPr>
      <w:r>
        <w:rPr>
          <w:rFonts w:hint="eastAsia" w:ascii="宋体" w:hAnsi="宋体" w:cs="宋体"/>
          <w:color w:val="000000" w:themeColor="text1"/>
          <w:sz w:val="28"/>
          <w:szCs w:val="28"/>
          <w14:textFill>
            <w14:solidFill>
              <w14:schemeClr w14:val="tx1"/>
            </w14:solidFill>
          </w14:textFill>
        </w:rPr>
        <w:t>第三联合厂房位于云内动力工业园西南侧，钢结构厂房，靠近厂区主大门。东临第四联合厂房、南临研发中心、西临铁路线、北临第一发动机联合 厂房。由北向南依次布置机体加工、缸盖加工线，装配生产线，后装生产线。</w:t>
      </w:r>
    </w:p>
    <w:p>
      <w:pPr>
        <w:snapToGrid w:val="0"/>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本项目压缩空气站为新建，位于厂房南侧辅房位置，为丁类站房。第三联合厂房东侧处的2个10/0.4kV变电所，每个变电所10/0.4kV分别设置2台2000kVA变压器，用于本项目用电和压缩空气。具体情况见表2-6及图2-5：</w:t>
      </w:r>
    </w:p>
    <w:p>
      <w:pPr>
        <w:spacing w:line="360" w:lineRule="auto"/>
        <w:ind w:firstLine="480" w:firstLineChars="200"/>
        <w:jc w:val="center"/>
        <w:rPr>
          <w:kern w:val="0"/>
          <w:sz w:val="24"/>
        </w:rPr>
      </w:pPr>
      <w:r>
        <w:rPr>
          <w:rFonts w:hint="eastAsia"/>
          <w:kern w:val="0"/>
          <w:sz w:val="24"/>
        </w:rPr>
        <w:t>表2-6项目所在建筑物与周边厂房防火间距表</w:t>
      </w:r>
    </w:p>
    <w:tbl>
      <w:tblPr>
        <w:tblStyle w:val="52"/>
        <w:tblW w:w="490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8"/>
        <w:gridCol w:w="1065"/>
        <w:gridCol w:w="1656"/>
        <w:gridCol w:w="727"/>
        <w:gridCol w:w="1127"/>
        <w:gridCol w:w="915"/>
        <w:gridCol w:w="1191"/>
        <w:gridCol w:w="1050"/>
        <w:gridCol w:w="1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序号</w:t>
            </w:r>
          </w:p>
        </w:tc>
        <w:tc>
          <w:tcPr>
            <w:tcW w:w="577"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项目名称</w:t>
            </w: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建构筑物名称</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火灾类别</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耐火</w:t>
            </w:r>
          </w:p>
          <w:p>
            <w:pPr>
              <w:snapToGrid w:val="0"/>
              <w:jc w:val="center"/>
              <w:rPr>
                <w:b/>
                <w:bCs/>
                <w:kern w:val="0"/>
                <w:szCs w:val="21"/>
              </w:rPr>
            </w:pPr>
            <w:r>
              <w:rPr>
                <w:rFonts w:hint="eastAsia"/>
                <w:b/>
                <w:bCs/>
                <w:kern w:val="0"/>
                <w:szCs w:val="21"/>
              </w:rPr>
              <w:t>等级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相对方位</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实际距离（m）</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标准距离(m)</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是否符合标准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restart"/>
            <w:tcBorders>
              <w:top w:val="single" w:color="000000" w:sz="4" w:space="0"/>
              <w:left w:val="nil"/>
              <w:right w:val="single" w:color="000000" w:sz="4" w:space="0"/>
            </w:tcBorders>
            <w:noWrap/>
            <w:vAlign w:val="center"/>
          </w:tcPr>
          <w:p>
            <w:pPr>
              <w:snapToGrid w:val="0"/>
              <w:jc w:val="center"/>
              <w:rPr>
                <w:kern w:val="0"/>
                <w:szCs w:val="21"/>
              </w:rPr>
            </w:pPr>
            <w:r>
              <w:rPr>
                <w:rFonts w:hint="eastAsia"/>
                <w:kern w:val="0"/>
                <w:szCs w:val="21"/>
              </w:rPr>
              <w:t>第三联合厂房（产业化项目，丁类）</w:t>
            </w: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公共仓库</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23.3</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试验台架区</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96.4</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kern w:val="0"/>
                <w:szCs w:val="21"/>
              </w:rPr>
              <w:t>研发中心</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213.3</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加油站</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甲类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三级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25.3</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12</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消防水池及污水处理站</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29.1</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危废库</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丙类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三级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26.5</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云内动力成品库</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戊类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西北</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46.4</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第一发动机联合厂房</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28.7</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第二发动机联合厂房</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东北边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57.6</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物流配送中心</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东边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47.6</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restart"/>
            <w:tcBorders>
              <w:left w:val="nil"/>
              <w:right w:val="single" w:color="000000" w:sz="4" w:space="0"/>
            </w:tcBorders>
            <w:noWrap/>
            <w:vAlign w:val="center"/>
          </w:tcPr>
          <w:p>
            <w:pPr>
              <w:snapToGrid w:val="0"/>
              <w:jc w:val="center"/>
              <w:rPr>
                <w:kern w:val="0"/>
                <w:szCs w:val="21"/>
              </w:rPr>
            </w:pPr>
            <w:r>
              <w:rPr>
                <w:rFonts w:hint="eastAsia"/>
                <w:kern w:val="0"/>
                <w:szCs w:val="21"/>
              </w:rPr>
              <w:t>第三联合厂房（公共仓库</w:t>
            </w:r>
            <w:r>
              <w:rPr>
                <w:rFonts w:hint="eastAsia"/>
              </w:rPr>
              <w:t>）</w:t>
            </w: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试验台架区</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同一厂房</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加油站</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乙类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三级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203.1</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12</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研发中心</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119.1</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消防水池及污水处理站</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147.6</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危废库</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丙类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三级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99</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云内动力成品库</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戊类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西北</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273.5</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第一发动机联合厂房</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267.4</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第二发动机联合厂房</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东北边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204.3</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vMerge w:val="continue"/>
            <w:tcBorders>
              <w:left w:val="nil"/>
              <w:right w:val="single" w:color="000000" w:sz="4" w:space="0"/>
            </w:tcBorders>
            <w:noWrap/>
            <w:vAlign w:val="center"/>
          </w:tcPr>
          <w:p>
            <w:pPr>
              <w:snapToGrid w:val="0"/>
              <w:jc w:val="center"/>
              <w:rPr>
                <w:kern w:val="0"/>
                <w:szCs w:val="21"/>
              </w:rPr>
            </w:pPr>
          </w:p>
        </w:tc>
        <w:tc>
          <w:tcPr>
            <w:tcW w:w="8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物流配送中心</w:t>
            </w:r>
          </w:p>
        </w:tc>
        <w:tc>
          <w:tcPr>
            <w:tcW w:w="394"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61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49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东边</w:t>
            </w:r>
          </w:p>
        </w:tc>
        <w:tc>
          <w:tcPr>
            <w:tcW w:w="645"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43.9</w:t>
            </w:r>
          </w:p>
        </w:tc>
        <w:tc>
          <w:tcPr>
            <w:tcW w:w="569"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54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264" w:type="pct"/>
            <w:tcBorders>
              <w:top w:val="single" w:color="000000" w:sz="4" w:space="0"/>
              <w:left w:val="single" w:color="000000" w:sz="4" w:space="0"/>
              <w:bottom w:val="single" w:color="000000" w:sz="4" w:space="0"/>
              <w:right w:val="single" w:color="000000" w:sz="4" w:space="0"/>
            </w:tcBorders>
            <w:noWrap/>
            <w:vAlign w:val="center"/>
          </w:tcPr>
          <w:p>
            <w:pPr>
              <w:numPr>
                <w:ilvl w:val="0"/>
                <w:numId w:val="8"/>
              </w:numPr>
              <w:snapToGrid w:val="0"/>
              <w:ind w:left="425" w:leftChars="0" w:firstLineChars="0"/>
              <w:jc w:val="center"/>
              <w:rPr>
                <w:kern w:val="0"/>
                <w:szCs w:val="21"/>
              </w:rPr>
            </w:pPr>
          </w:p>
        </w:tc>
        <w:tc>
          <w:tcPr>
            <w:tcW w:w="577" w:type="pct"/>
            <w:tcBorders>
              <w:left w:val="nil"/>
              <w:right w:val="single" w:color="000000" w:sz="4" w:space="0"/>
            </w:tcBorders>
            <w:noWrap/>
            <w:vAlign w:val="center"/>
          </w:tcPr>
          <w:p>
            <w:pPr>
              <w:snapToGrid w:val="0"/>
              <w:jc w:val="center"/>
              <w:rPr>
                <w:kern w:val="0"/>
                <w:szCs w:val="21"/>
              </w:rPr>
            </w:pPr>
            <w:r>
              <w:rPr>
                <w:rFonts w:hint="eastAsia"/>
                <w:kern w:val="0"/>
                <w:szCs w:val="21"/>
              </w:rPr>
              <w:t>标气间</w:t>
            </w:r>
          </w:p>
        </w:tc>
        <w:tc>
          <w:tcPr>
            <w:tcW w:w="4157" w:type="pct"/>
            <w:gridSpan w:val="7"/>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标气间为嵌入式辅房，与公共仓库同厂房，故与周围建筑物距离按生产厂房算。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vAlign w:val="center"/>
          </w:tcPr>
          <w:p>
            <w:pPr>
              <w:snapToGrid w:val="0"/>
              <w:jc w:val="left"/>
              <w:rPr>
                <w:kern w:val="0"/>
                <w:szCs w:val="21"/>
              </w:rPr>
            </w:pPr>
            <w:r>
              <w:rPr>
                <w:rFonts w:hint="eastAsia"/>
                <w:kern w:val="0"/>
                <w:szCs w:val="21"/>
              </w:rPr>
              <w:t>安全距离判定标准按照《建筑设计防火规范》（GB50016）中表3.4.1中规定距离进行判定。</w:t>
            </w:r>
          </w:p>
        </w:tc>
      </w:tr>
    </w:tbl>
    <w:p>
      <w:pPr>
        <w:pStyle w:val="50"/>
        <w:ind w:firstLine="0"/>
        <w:jc w:val="center"/>
        <w:rPr>
          <w:rFonts w:ascii="宋体" w:hAnsi="宋体" w:cs="宋体"/>
        </w:rPr>
      </w:pPr>
    </w:p>
    <w:p>
      <w:pPr>
        <w:pStyle w:val="50"/>
        <w:ind w:firstLine="0"/>
        <w:jc w:val="center"/>
        <w:rPr>
          <w:rFonts w:ascii="宋体" w:hAnsi="宋体" w:cs="宋体"/>
        </w:rPr>
      </w:pPr>
      <w:r>
        <w:rPr>
          <w:rFonts w:hint="eastAsia" w:ascii="宋体" w:hAnsi="宋体" w:cs="宋体"/>
        </w:rPr>
        <w:drawing>
          <wp:inline distT="0" distB="0" distL="114300" distR="114300">
            <wp:extent cx="5186680" cy="3686175"/>
            <wp:effectExtent l="0" t="0" r="13970" b="9525"/>
            <wp:docPr id="23" name="图片 1" descr="C:\Users\LENOVO\Desktop\云内动力产业化_00(1).png云内动力产业化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ENOVO\Desktop\云内动力产业化_00(1).png云内动力产业化_00(1)"/>
                    <pic:cNvPicPr>
                      <a:picLocks noChangeAspect="1"/>
                    </pic:cNvPicPr>
                  </pic:nvPicPr>
                  <pic:blipFill>
                    <a:blip r:embed="rId15"/>
                    <a:srcRect l="3945" t="17434" r="3616" b="26499"/>
                    <a:stretch>
                      <a:fillRect/>
                    </a:stretch>
                  </pic:blipFill>
                  <pic:spPr>
                    <a:xfrm>
                      <a:off x="0" y="0"/>
                      <a:ext cx="5186680" cy="3686175"/>
                    </a:xfrm>
                    <a:prstGeom prst="rect">
                      <a:avLst/>
                    </a:prstGeom>
                    <a:noFill/>
                    <a:ln>
                      <a:noFill/>
                    </a:ln>
                  </pic:spPr>
                </pic:pic>
              </a:graphicData>
            </a:graphic>
          </wp:inline>
        </w:drawing>
      </w:r>
    </w:p>
    <w:p>
      <w:pPr>
        <w:snapToGrid w:val="0"/>
        <w:spacing w:line="360" w:lineRule="auto"/>
        <w:jc w:val="center"/>
        <w:rPr>
          <w:rFonts w:ascii="宋体" w:hAnsi="宋体" w:cs="宋体"/>
          <w:bCs/>
          <w:sz w:val="24"/>
        </w:rPr>
      </w:pPr>
      <w:r>
        <w:rPr>
          <w:rFonts w:hint="eastAsia" w:ascii="宋体" w:hAnsi="宋体" w:cs="宋体"/>
          <w:bCs/>
          <w:sz w:val="24"/>
        </w:rPr>
        <w:t>图2-5 周边环境情况</w:t>
      </w:r>
    </w:p>
    <w:p/>
    <w:p>
      <w:pPr>
        <w:pStyle w:val="5"/>
        <w:keepNext w:val="0"/>
        <w:keepLines w:val="0"/>
        <w:snapToGrid w:val="0"/>
        <w:spacing w:before="0" w:after="0" w:line="360" w:lineRule="auto"/>
        <w:jc w:val="left"/>
        <w:rPr>
          <w:rFonts w:ascii="宋体" w:hAnsi="宋体" w:cs="宋体"/>
          <w:sz w:val="28"/>
          <w:szCs w:val="28"/>
        </w:rPr>
      </w:pPr>
      <w:bookmarkStart w:id="196" w:name="_Toc7354"/>
      <w:r>
        <w:rPr>
          <w:rFonts w:hint="eastAsia" w:ascii="宋体" w:hAnsi="宋体" w:cs="宋体"/>
          <w:sz w:val="28"/>
          <w:szCs w:val="28"/>
        </w:rPr>
        <w:t>2.5.2</w:t>
      </w:r>
      <w:bookmarkEnd w:id="193"/>
      <w:bookmarkEnd w:id="194"/>
      <w:r>
        <w:rPr>
          <w:rFonts w:hint="eastAsia" w:ascii="宋体" w:hAnsi="宋体" w:cs="宋体"/>
          <w:sz w:val="28"/>
          <w:szCs w:val="28"/>
        </w:rPr>
        <w:t>运输方式</w:t>
      </w:r>
      <w:bookmarkEnd w:id="195"/>
      <w:bookmarkEnd w:id="196"/>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sz w:val="28"/>
          <w:szCs w:val="28"/>
        </w:rPr>
        <w:t>本项目产品的原材料、外购外协件和成品厂外运输主要用汽车运至客户。零部件和外购外协件的厂内运输主要采用叉车、平板车和汽车运输。</w:t>
      </w:r>
      <w:r>
        <w:rPr>
          <w:rFonts w:hint="eastAsia" w:ascii="宋体" w:hAnsi="宋体" w:cs="宋体"/>
          <w:color w:val="000000" w:themeColor="text1"/>
          <w:sz w:val="28"/>
          <w:szCs w:val="28"/>
          <w14:textFill>
            <w14:solidFill>
              <w14:schemeClr w14:val="tx1"/>
            </w14:solidFill>
          </w14:textFill>
        </w:rPr>
        <w:t>装置区的运输主要采用自动引导小车和叉车。</w:t>
      </w:r>
    </w:p>
    <w:p>
      <w:pPr>
        <w:pStyle w:val="4"/>
        <w:keepNext w:val="0"/>
        <w:keepLines w:val="0"/>
        <w:snapToGrid w:val="0"/>
        <w:spacing w:before="0" w:after="0" w:line="360" w:lineRule="auto"/>
        <w:jc w:val="left"/>
        <w:rPr>
          <w:rFonts w:ascii="宋体" w:hAnsi="宋体" w:cs="宋体"/>
          <w:snapToGrid/>
          <w:color w:val="000000" w:themeColor="text1"/>
          <w:kern w:val="2"/>
          <w14:textFill>
            <w14:solidFill>
              <w14:schemeClr w14:val="tx1"/>
            </w14:solidFill>
          </w14:textFill>
        </w:rPr>
      </w:pPr>
      <w:bookmarkStart w:id="197" w:name="_Toc28054"/>
      <w:bookmarkStart w:id="198" w:name="_Toc25468"/>
      <w:r>
        <w:rPr>
          <w:rFonts w:hint="eastAsia" w:ascii="宋体" w:hAnsi="宋体" w:cs="宋体"/>
          <w:snapToGrid/>
          <w:color w:val="000000" w:themeColor="text1"/>
          <w:kern w:val="2"/>
          <w14:textFill>
            <w14:solidFill>
              <w14:schemeClr w14:val="tx1"/>
            </w14:solidFill>
          </w14:textFill>
        </w:rPr>
        <w:t>2.6</w:t>
      </w:r>
      <w:r>
        <w:rPr>
          <w:rFonts w:hint="eastAsia" w:ascii="宋体" w:hAnsi="宋体" w:cs="宋体"/>
          <w:snapToGrid/>
          <w:color w:val="000000" w:themeColor="text1"/>
          <w:kern w:val="2"/>
          <w:lang w:val="en-US" w:eastAsia="zh-CN"/>
          <w14:textFill>
            <w14:solidFill>
              <w14:schemeClr w14:val="tx1"/>
            </w14:solidFill>
          </w14:textFill>
        </w:rPr>
        <w:t xml:space="preserve"> </w:t>
      </w:r>
      <w:r>
        <w:rPr>
          <w:rFonts w:hint="eastAsia" w:ascii="宋体" w:hAnsi="宋体" w:cs="宋体"/>
          <w:snapToGrid/>
          <w:color w:val="000000" w:themeColor="text1"/>
          <w:kern w:val="2"/>
          <w14:textFill>
            <w14:solidFill>
              <w14:schemeClr w14:val="tx1"/>
            </w14:solidFill>
          </w14:textFill>
        </w:rPr>
        <w:t>主要原材料、产品</w:t>
      </w:r>
      <w:bookmarkEnd w:id="197"/>
      <w:bookmarkEnd w:id="198"/>
    </w:p>
    <w:p>
      <w:pPr>
        <w:pStyle w:val="5"/>
        <w:keepNext w:val="0"/>
        <w:keepLines w:val="0"/>
        <w:snapToGrid w:val="0"/>
        <w:spacing w:before="0" w:after="0" w:line="360" w:lineRule="auto"/>
        <w:jc w:val="left"/>
        <w:rPr>
          <w:rFonts w:ascii="宋体" w:hAnsi="宋体" w:cs="宋体"/>
          <w:sz w:val="28"/>
          <w:szCs w:val="28"/>
        </w:rPr>
      </w:pPr>
      <w:bookmarkStart w:id="199" w:name="_Toc516501432"/>
      <w:bookmarkStart w:id="200" w:name="_Toc531791095"/>
      <w:bookmarkStart w:id="201" w:name="_Toc19123"/>
      <w:r>
        <w:rPr>
          <w:rFonts w:hint="eastAsia" w:ascii="宋体" w:hAnsi="宋体" w:cs="宋体"/>
          <w:sz w:val="28"/>
          <w:szCs w:val="28"/>
        </w:rPr>
        <w:t>2.6.</w:t>
      </w:r>
      <w:bookmarkEnd w:id="199"/>
      <w:r>
        <w:rPr>
          <w:rFonts w:hint="eastAsia" w:ascii="宋体" w:hAnsi="宋体" w:cs="宋体"/>
          <w:sz w:val="28"/>
          <w:szCs w:val="28"/>
        </w:rPr>
        <w:t>1主要原辅材料的来源、贮存及使用情况</w:t>
      </w:r>
      <w:bookmarkEnd w:id="200"/>
      <w:bookmarkEnd w:id="201"/>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1.原材料来源</w:t>
      </w:r>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项目的主要原材料液压油、润滑油、密封胶等均通过昆明地区就近供应，由企业统一安排。缸体缸盖铸造原件由企业原铸造车间提供。</w:t>
      </w:r>
    </w:p>
    <w:p>
      <w:pPr>
        <w:snapToGrid w:val="0"/>
        <w:spacing w:line="360" w:lineRule="auto"/>
        <w:ind w:firstLine="482"/>
        <w:rPr>
          <w:rFonts w:ascii="宋体" w:hAnsi="宋体" w:cs="宋体"/>
          <w:sz w:val="28"/>
          <w:szCs w:val="28"/>
        </w:rPr>
      </w:pPr>
      <w:r>
        <w:rPr>
          <w:rFonts w:hint="eastAsia" w:ascii="宋体" w:hAnsi="宋体" w:cs="宋体"/>
          <w:sz w:val="28"/>
          <w:szCs w:val="28"/>
        </w:rPr>
        <w:t>2.辅助材料</w:t>
      </w:r>
    </w:p>
    <w:p>
      <w:pPr>
        <w:snapToGrid w:val="0"/>
        <w:spacing w:line="360" w:lineRule="auto"/>
        <w:ind w:firstLine="482"/>
        <w:rPr>
          <w:rFonts w:ascii="宋体" w:hAnsi="宋体" w:cs="宋体"/>
          <w:sz w:val="28"/>
          <w:szCs w:val="28"/>
        </w:rPr>
      </w:pPr>
      <w:r>
        <w:rPr>
          <w:rFonts w:hint="eastAsia" w:ascii="宋体" w:hAnsi="宋体" w:cs="宋体"/>
          <w:sz w:val="28"/>
          <w:szCs w:val="28"/>
        </w:rPr>
        <w:t>项目产品生产所需的辅助材料均为普通材料，无特殊要求，市场供应量充足，供应部门可统一在市场上择优采购。</w:t>
      </w:r>
    </w:p>
    <w:p>
      <w:pPr>
        <w:spacing w:line="360" w:lineRule="auto"/>
        <w:ind w:firstLine="480" w:firstLineChars="200"/>
        <w:jc w:val="center"/>
        <w:rPr>
          <w:kern w:val="0"/>
          <w:sz w:val="24"/>
        </w:rPr>
      </w:pPr>
      <w:r>
        <w:rPr>
          <w:rFonts w:hint="eastAsia"/>
          <w:kern w:val="0"/>
          <w:sz w:val="24"/>
        </w:rPr>
        <w:t>表2-7机加工车间主要原辅材料用量估算表</w:t>
      </w:r>
    </w:p>
    <w:tbl>
      <w:tblPr>
        <w:tblStyle w:val="52"/>
        <w:tblW w:w="92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870"/>
        <w:gridCol w:w="1584"/>
        <w:gridCol w:w="2282"/>
        <w:gridCol w:w="742"/>
        <w:gridCol w:w="890"/>
        <w:gridCol w:w="22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703" w:type="dxa"/>
            <w:tcBorders>
              <w:left w:val="single" w:color="auto" w:sz="4" w:space="0"/>
            </w:tcBorders>
            <w:noWrap/>
            <w:vAlign w:val="center"/>
          </w:tcPr>
          <w:p>
            <w:pPr>
              <w:pStyle w:val="19"/>
              <w:spacing w:line="240" w:lineRule="auto"/>
              <w:jc w:val="center"/>
              <w:rPr>
                <w:bCs/>
                <w:szCs w:val="21"/>
              </w:rPr>
            </w:pPr>
            <w:r>
              <w:rPr>
                <w:bCs/>
                <w:szCs w:val="21"/>
              </w:rPr>
              <w:t>序号</w:t>
            </w:r>
          </w:p>
        </w:tc>
        <w:tc>
          <w:tcPr>
            <w:tcW w:w="870" w:type="dxa"/>
            <w:noWrap/>
            <w:vAlign w:val="center"/>
          </w:tcPr>
          <w:p>
            <w:pPr>
              <w:pStyle w:val="19"/>
              <w:spacing w:line="240" w:lineRule="auto"/>
              <w:jc w:val="center"/>
              <w:rPr>
                <w:bCs/>
                <w:szCs w:val="21"/>
              </w:rPr>
            </w:pPr>
            <w:r>
              <w:rPr>
                <w:bCs/>
                <w:szCs w:val="21"/>
              </w:rPr>
              <w:t>工序</w:t>
            </w:r>
          </w:p>
        </w:tc>
        <w:tc>
          <w:tcPr>
            <w:tcW w:w="1584" w:type="dxa"/>
            <w:noWrap/>
            <w:vAlign w:val="center"/>
          </w:tcPr>
          <w:p>
            <w:pPr>
              <w:pStyle w:val="19"/>
              <w:spacing w:line="240" w:lineRule="auto"/>
              <w:jc w:val="center"/>
              <w:rPr>
                <w:bCs/>
                <w:szCs w:val="21"/>
              </w:rPr>
            </w:pPr>
            <w:r>
              <w:rPr>
                <w:bCs/>
                <w:szCs w:val="21"/>
              </w:rPr>
              <w:t>原辅材料</w:t>
            </w:r>
          </w:p>
          <w:p>
            <w:pPr>
              <w:pStyle w:val="19"/>
              <w:spacing w:line="240" w:lineRule="auto"/>
              <w:jc w:val="center"/>
              <w:rPr>
                <w:bCs/>
                <w:szCs w:val="21"/>
              </w:rPr>
            </w:pPr>
            <w:r>
              <w:rPr>
                <w:bCs/>
                <w:szCs w:val="21"/>
              </w:rPr>
              <w:t>名称</w:t>
            </w:r>
          </w:p>
        </w:tc>
        <w:tc>
          <w:tcPr>
            <w:tcW w:w="2282" w:type="dxa"/>
            <w:noWrap/>
            <w:vAlign w:val="center"/>
          </w:tcPr>
          <w:p>
            <w:pPr>
              <w:pStyle w:val="19"/>
              <w:spacing w:line="240" w:lineRule="auto"/>
              <w:jc w:val="center"/>
              <w:rPr>
                <w:bCs/>
                <w:szCs w:val="21"/>
              </w:rPr>
            </w:pPr>
            <w:r>
              <w:rPr>
                <w:bCs/>
                <w:szCs w:val="21"/>
              </w:rPr>
              <w:t>规格</w:t>
            </w:r>
          </w:p>
        </w:tc>
        <w:tc>
          <w:tcPr>
            <w:tcW w:w="742" w:type="dxa"/>
            <w:noWrap/>
            <w:vAlign w:val="center"/>
          </w:tcPr>
          <w:p>
            <w:pPr>
              <w:pStyle w:val="19"/>
              <w:spacing w:line="240" w:lineRule="auto"/>
              <w:jc w:val="center"/>
              <w:rPr>
                <w:szCs w:val="21"/>
              </w:rPr>
            </w:pPr>
            <w:r>
              <w:rPr>
                <w:bCs/>
                <w:szCs w:val="21"/>
              </w:rPr>
              <w:t>单位</w:t>
            </w:r>
          </w:p>
        </w:tc>
        <w:tc>
          <w:tcPr>
            <w:tcW w:w="890" w:type="dxa"/>
            <w:noWrap/>
            <w:vAlign w:val="center"/>
          </w:tcPr>
          <w:p>
            <w:pPr>
              <w:pStyle w:val="19"/>
              <w:spacing w:line="240" w:lineRule="auto"/>
              <w:jc w:val="center"/>
              <w:rPr>
                <w:szCs w:val="21"/>
              </w:rPr>
            </w:pPr>
            <w:r>
              <w:rPr>
                <w:szCs w:val="21"/>
              </w:rPr>
              <w:t>年消</w:t>
            </w:r>
          </w:p>
          <w:p>
            <w:pPr>
              <w:pStyle w:val="19"/>
              <w:spacing w:line="240" w:lineRule="auto"/>
              <w:jc w:val="center"/>
              <w:rPr>
                <w:bCs/>
                <w:szCs w:val="21"/>
              </w:rPr>
            </w:pPr>
            <w:r>
              <w:rPr>
                <w:szCs w:val="21"/>
              </w:rPr>
              <w:t>耗量</w:t>
            </w:r>
          </w:p>
        </w:tc>
        <w:tc>
          <w:tcPr>
            <w:tcW w:w="2227" w:type="dxa"/>
            <w:tcBorders>
              <w:right w:val="single" w:color="auto" w:sz="4" w:space="0"/>
            </w:tcBorders>
            <w:noWrap/>
            <w:vAlign w:val="center"/>
          </w:tcPr>
          <w:p>
            <w:pPr>
              <w:pStyle w:val="19"/>
              <w:spacing w:line="240" w:lineRule="auto"/>
              <w:jc w:val="center"/>
              <w:rPr>
                <w:bCs/>
                <w:szCs w:val="21"/>
              </w:rPr>
            </w:pPr>
            <w:r>
              <w:rPr>
                <w:bCs/>
                <w:szCs w:val="21"/>
              </w:rPr>
              <w:t>备注说明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3" w:type="dxa"/>
            <w:vMerge w:val="restart"/>
            <w:tcBorders>
              <w:left w:val="single" w:color="auto" w:sz="4" w:space="0"/>
            </w:tcBorders>
            <w:noWrap/>
            <w:vAlign w:val="center"/>
          </w:tcPr>
          <w:p>
            <w:pPr>
              <w:pStyle w:val="19"/>
              <w:spacing w:line="240" w:lineRule="auto"/>
              <w:jc w:val="center"/>
              <w:rPr>
                <w:bCs/>
                <w:szCs w:val="21"/>
              </w:rPr>
            </w:pPr>
            <w:r>
              <w:rPr>
                <w:bCs/>
                <w:szCs w:val="21"/>
              </w:rPr>
              <w:t>1</w:t>
            </w:r>
          </w:p>
        </w:tc>
        <w:tc>
          <w:tcPr>
            <w:tcW w:w="870" w:type="dxa"/>
            <w:vMerge w:val="restart"/>
            <w:noWrap/>
            <w:vAlign w:val="center"/>
          </w:tcPr>
          <w:p>
            <w:pPr>
              <w:autoSpaceDE w:val="0"/>
              <w:autoSpaceDN w:val="0"/>
              <w:adjustRightInd w:val="0"/>
              <w:snapToGrid w:val="0"/>
              <w:jc w:val="center"/>
              <w:rPr>
                <w:bCs/>
                <w:szCs w:val="21"/>
              </w:rPr>
            </w:pPr>
            <w:r>
              <w:rPr>
                <w:bCs/>
                <w:szCs w:val="21"/>
              </w:rPr>
              <w:t>机加工</w:t>
            </w:r>
          </w:p>
        </w:tc>
        <w:tc>
          <w:tcPr>
            <w:tcW w:w="1584" w:type="dxa"/>
            <w:noWrap/>
            <w:vAlign w:val="center"/>
          </w:tcPr>
          <w:p>
            <w:pPr>
              <w:autoSpaceDE w:val="0"/>
              <w:autoSpaceDN w:val="0"/>
              <w:adjustRightInd w:val="0"/>
              <w:snapToGrid w:val="0"/>
              <w:jc w:val="center"/>
              <w:rPr>
                <w:bCs/>
                <w:szCs w:val="21"/>
              </w:rPr>
            </w:pPr>
            <w:r>
              <w:rPr>
                <w:bCs/>
                <w:szCs w:val="21"/>
              </w:rPr>
              <w:t>切削液（水基乳化液）</w:t>
            </w:r>
          </w:p>
        </w:tc>
        <w:tc>
          <w:tcPr>
            <w:tcW w:w="2282" w:type="dxa"/>
            <w:noWrap/>
            <w:vAlign w:val="center"/>
          </w:tcPr>
          <w:p>
            <w:pPr>
              <w:widowControl/>
              <w:snapToGrid w:val="0"/>
              <w:jc w:val="left"/>
              <w:textAlignment w:val="center"/>
              <w:rPr>
                <w:szCs w:val="21"/>
              </w:rPr>
            </w:pPr>
            <w:r>
              <w:rPr>
                <w:szCs w:val="21"/>
              </w:rPr>
              <w:t>福岛（FD-3502）</w:t>
            </w:r>
          </w:p>
        </w:tc>
        <w:tc>
          <w:tcPr>
            <w:tcW w:w="742" w:type="dxa"/>
            <w:noWrap/>
            <w:vAlign w:val="center"/>
          </w:tcPr>
          <w:p>
            <w:pPr>
              <w:widowControl/>
              <w:snapToGrid w:val="0"/>
              <w:jc w:val="center"/>
              <w:textAlignment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45</w:t>
            </w:r>
          </w:p>
        </w:tc>
        <w:tc>
          <w:tcPr>
            <w:tcW w:w="2227" w:type="dxa"/>
            <w:vMerge w:val="restart"/>
            <w:tcBorders>
              <w:right w:val="single" w:color="auto" w:sz="4" w:space="0"/>
            </w:tcBorders>
            <w:noWrap/>
            <w:vAlign w:val="center"/>
          </w:tcPr>
          <w:p>
            <w:pPr>
              <w:widowControl/>
              <w:snapToGrid w:val="0"/>
              <w:jc w:val="center"/>
              <w:textAlignment w:val="center"/>
              <w:rPr>
                <w:bCs/>
                <w:szCs w:val="21"/>
              </w:rPr>
            </w:pPr>
            <w:r>
              <w:rPr>
                <w:bCs/>
                <w:szCs w:val="21"/>
              </w:rPr>
              <w:t>按照缸体、缸盖各5万台/年计算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restart"/>
            <w:noWrap/>
            <w:vAlign w:val="center"/>
          </w:tcPr>
          <w:p>
            <w:pPr>
              <w:autoSpaceDE w:val="0"/>
              <w:autoSpaceDN w:val="0"/>
              <w:adjustRightInd w:val="0"/>
              <w:snapToGrid w:val="0"/>
              <w:jc w:val="center"/>
              <w:rPr>
                <w:bCs/>
                <w:szCs w:val="21"/>
              </w:rPr>
            </w:pPr>
            <w:r>
              <w:rPr>
                <w:bCs/>
                <w:szCs w:val="21"/>
              </w:rPr>
              <w:t>清洗剂</w:t>
            </w:r>
          </w:p>
        </w:tc>
        <w:tc>
          <w:tcPr>
            <w:tcW w:w="2282" w:type="dxa"/>
            <w:noWrap/>
            <w:vAlign w:val="center"/>
          </w:tcPr>
          <w:p>
            <w:pPr>
              <w:widowControl/>
              <w:snapToGrid w:val="0"/>
              <w:jc w:val="center"/>
              <w:textAlignment w:val="center"/>
              <w:rPr>
                <w:kern w:val="0"/>
                <w:szCs w:val="21"/>
              </w:rPr>
            </w:pPr>
            <w:r>
              <w:rPr>
                <w:kern w:val="0"/>
                <w:szCs w:val="21"/>
              </w:rPr>
              <w:t>MD-82A</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1.2</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H-8S</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3.05</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5021</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1.2</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5003</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0.25</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信人（7020A）</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0.8</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restart"/>
            <w:noWrap/>
            <w:vAlign w:val="center"/>
          </w:tcPr>
          <w:p>
            <w:pPr>
              <w:autoSpaceDE w:val="0"/>
              <w:autoSpaceDN w:val="0"/>
              <w:adjustRightInd w:val="0"/>
              <w:snapToGrid w:val="0"/>
              <w:jc w:val="center"/>
              <w:rPr>
                <w:bCs/>
                <w:szCs w:val="21"/>
              </w:rPr>
            </w:pPr>
            <w:r>
              <w:rPr>
                <w:bCs/>
                <w:szCs w:val="21"/>
              </w:rPr>
              <w:t>抗磨液压油</w:t>
            </w:r>
          </w:p>
        </w:tc>
        <w:tc>
          <w:tcPr>
            <w:tcW w:w="2282" w:type="dxa"/>
            <w:noWrap/>
            <w:vAlign w:val="center"/>
          </w:tcPr>
          <w:p>
            <w:pPr>
              <w:widowControl/>
              <w:snapToGrid w:val="0"/>
              <w:jc w:val="center"/>
              <w:textAlignment w:val="center"/>
              <w:rPr>
                <w:kern w:val="0"/>
                <w:szCs w:val="21"/>
              </w:rPr>
            </w:pPr>
            <w:r>
              <w:rPr>
                <w:kern w:val="0"/>
                <w:szCs w:val="21"/>
              </w:rPr>
              <w:t>32#</w:t>
            </w:r>
          </w:p>
        </w:tc>
        <w:tc>
          <w:tcPr>
            <w:tcW w:w="742" w:type="dxa"/>
            <w:noWrap/>
            <w:vAlign w:val="center"/>
          </w:tcPr>
          <w:p>
            <w:pPr>
              <w:widowControl/>
              <w:snapToGrid w:val="0"/>
              <w:jc w:val="center"/>
              <w:textAlignment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1.5</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46#</w:t>
            </w:r>
          </w:p>
        </w:tc>
        <w:tc>
          <w:tcPr>
            <w:tcW w:w="742" w:type="dxa"/>
            <w:noWrap/>
            <w:vAlign w:val="center"/>
          </w:tcPr>
          <w:p>
            <w:pPr>
              <w:widowControl/>
              <w:snapToGrid w:val="0"/>
              <w:jc w:val="center"/>
              <w:textAlignment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15.5</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restart"/>
            <w:noWrap/>
            <w:vAlign w:val="center"/>
          </w:tcPr>
          <w:p>
            <w:pPr>
              <w:autoSpaceDE w:val="0"/>
              <w:autoSpaceDN w:val="0"/>
              <w:adjustRightInd w:val="0"/>
              <w:snapToGrid w:val="0"/>
              <w:jc w:val="center"/>
              <w:rPr>
                <w:bCs/>
                <w:szCs w:val="21"/>
              </w:rPr>
            </w:pPr>
            <w:r>
              <w:rPr>
                <w:bCs/>
                <w:szCs w:val="21"/>
              </w:rPr>
              <w:t>润滑油</w:t>
            </w:r>
          </w:p>
        </w:tc>
        <w:tc>
          <w:tcPr>
            <w:tcW w:w="2282" w:type="dxa"/>
            <w:noWrap/>
            <w:vAlign w:val="center"/>
          </w:tcPr>
          <w:p>
            <w:pPr>
              <w:widowControl/>
              <w:snapToGrid w:val="0"/>
              <w:jc w:val="center"/>
              <w:textAlignment w:val="center"/>
              <w:rPr>
                <w:kern w:val="0"/>
                <w:szCs w:val="21"/>
              </w:rPr>
            </w:pPr>
            <w:r>
              <w:rPr>
                <w:kern w:val="0"/>
                <w:szCs w:val="21"/>
              </w:rPr>
              <w:t>美孚SHC624</w:t>
            </w:r>
          </w:p>
        </w:tc>
        <w:tc>
          <w:tcPr>
            <w:tcW w:w="742" w:type="dxa"/>
            <w:noWrap/>
            <w:vAlign w:val="center"/>
          </w:tcPr>
          <w:p>
            <w:pPr>
              <w:widowControl/>
              <w:snapToGrid w:val="0"/>
              <w:jc w:val="center"/>
              <w:textAlignment w:val="center"/>
              <w:rPr>
                <w:bCs/>
                <w:szCs w:val="21"/>
              </w:rPr>
            </w:pPr>
            <w:r>
              <w:rPr>
                <w:szCs w:val="21"/>
              </w:rPr>
              <w:t>吨</w:t>
            </w:r>
          </w:p>
        </w:tc>
        <w:tc>
          <w:tcPr>
            <w:tcW w:w="890" w:type="dxa"/>
            <w:noWrap/>
            <w:vAlign w:val="center"/>
          </w:tcPr>
          <w:p>
            <w:pPr>
              <w:widowControl/>
              <w:snapToGrid w:val="0"/>
              <w:jc w:val="center"/>
              <w:textAlignment w:val="center"/>
              <w:rPr>
                <w:bCs/>
                <w:szCs w:val="21"/>
              </w:rPr>
            </w:pPr>
            <w:r>
              <w:rPr>
                <w:bCs/>
                <w:szCs w:val="21"/>
              </w:rPr>
              <w:t>3.5</w:t>
            </w:r>
          </w:p>
        </w:tc>
        <w:tc>
          <w:tcPr>
            <w:tcW w:w="2227" w:type="dxa"/>
            <w:vMerge w:val="continue"/>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000#润滑油</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0.005</w:t>
            </w:r>
          </w:p>
        </w:tc>
        <w:tc>
          <w:tcPr>
            <w:tcW w:w="2227" w:type="dxa"/>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美孚32#</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1.27</w:t>
            </w:r>
          </w:p>
        </w:tc>
        <w:tc>
          <w:tcPr>
            <w:tcW w:w="2227" w:type="dxa"/>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美孚68#</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0.05</w:t>
            </w:r>
          </w:p>
        </w:tc>
        <w:tc>
          <w:tcPr>
            <w:tcW w:w="2227" w:type="dxa"/>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4#导轨油</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0.005</w:t>
            </w:r>
          </w:p>
        </w:tc>
        <w:tc>
          <w:tcPr>
            <w:tcW w:w="2227" w:type="dxa"/>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68#齿轮油</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1.98</w:t>
            </w:r>
          </w:p>
        </w:tc>
        <w:tc>
          <w:tcPr>
            <w:tcW w:w="2227" w:type="dxa"/>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snapToGrid w:val="0"/>
              <w:jc w:val="center"/>
              <w:textAlignment w:val="center"/>
              <w:rPr>
                <w:bCs/>
                <w:szCs w:val="21"/>
              </w:rPr>
            </w:pPr>
          </w:p>
        </w:tc>
        <w:tc>
          <w:tcPr>
            <w:tcW w:w="1584" w:type="dxa"/>
            <w:vMerge w:val="continue"/>
            <w:noWrap/>
            <w:vAlign w:val="center"/>
          </w:tcPr>
          <w:p>
            <w:pPr>
              <w:autoSpaceDE w:val="0"/>
              <w:autoSpaceDN w:val="0"/>
              <w:adjustRightInd w:val="0"/>
              <w:snapToGrid w:val="0"/>
              <w:jc w:val="center"/>
              <w:rPr>
                <w:bCs/>
                <w:szCs w:val="21"/>
              </w:rPr>
            </w:pPr>
          </w:p>
        </w:tc>
        <w:tc>
          <w:tcPr>
            <w:tcW w:w="2282" w:type="dxa"/>
            <w:noWrap/>
            <w:vAlign w:val="center"/>
          </w:tcPr>
          <w:p>
            <w:pPr>
              <w:widowControl/>
              <w:snapToGrid w:val="0"/>
              <w:jc w:val="center"/>
              <w:textAlignment w:val="center"/>
              <w:rPr>
                <w:kern w:val="0"/>
                <w:szCs w:val="21"/>
              </w:rPr>
            </w:pPr>
            <w:r>
              <w:rPr>
                <w:kern w:val="0"/>
                <w:szCs w:val="21"/>
              </w:rPr>
              <w:t>680#齿轮油</w:t>
            </w:r>
          </w:p>
        </w:tc>
        <w:tc>
          <w:tcPr>
            <w:tcW w:w="742" w:type="dxa"/>
            <w:noWrap/>
          </w:tcPr>
          <w:p>
            <w:pPr>
              <w:snapToGrid w:val="0"/>
              <w:jc w:val="center"/>
              <w:rPr>
                <w:szCs w:val="21"/>
              </w:rPr>
            </w:pPr>
            <w:r>
              <w:rPr>
                <w:szCs w:val="21"/>
              </w:rPr>
              <w:t>吨</w:t>
            </w:r>
          </w:p>
        </w:tc>
        <w:tc>
          <w:tcPr>
            <w:tcW w:w="890" w:type="dxa"/>
            <w:noWrap/>
            <w:vAlign w:val="center"/>
          </w:tcPr>
          <w:p>
            <w:pPr>
              <w:widowControl/>
              <w:snapToGrid w:val="0"/>
              <w:jc w:val="center"/>
              <w:textAlignment w:val="center"/>
              <w:rPr>
                <w:bCs/>
                <w:szCs w:val="21"/>
              </w:rPr>
            </w:pPr>
            <w:r>
              <w:rPr>
                <w:bCs/>
                <w:szCs w:val="21"/>
              </w:rPr>
              <w:t>0.07</w:t>
            </w:r>
          </w:p>
        </w:tc>
        <w:tc>
          <w:tcPr>
            <w:tcW w:w="2227" w:type="dxa"/>
            <w:tcBorders>
              <w:right w:val="single" w:color="auto" w:sz="4" w:space="0"/>
            </w:tcBorders>
            <w:noWrap/>
            <w:vAlign w:val="center"/>
          </w:tcPr>
          <w:p>
            <w:pPr>
              <w:widowControl/>
              <w:snapToGrid w:val="0"/>
              <w:jc w:val="center"/>
              <w:textAlignment w:val="center"/>
              <w:rPr>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6"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widowControl/>
              <w:snapToGrid w:val="0"/>
              <w:jc w:val="center"/>
              <w:textAlignment w:val="center"/>
              <w:rPr>
                <w:bCs/>
                <w:szCs w:val="21"/>
              </w:rPr>
            </w:pPr>
          </w:p>
        </w:tc>
        <w:tc>
          <w:tcPr>
            <w:tcW w:w="1584" w:type="dxa"/>
            <w:noWrap/>
            <w:vAlign w:val="center"/>
          </w:tcPr>
          <w:p>
            <w:pPr>
              <w:widowControl/>
              <w:snapToGrid w:val="0"/>
              <w:jc w:val="center"/>
              <w:textAlignment w:val="center"/>
              <w:rPr>
                <w:bCs/>
                <w:szCs w:val="21"/>
              </w:rPr>
            </w:pPr>
            <w:r>
              <w:rPr>
                <w:bCs/>
                <w:szCs w:val="21"/>
              </w:rPr>
              <w:t>螺纹密封胶</w:t>
            </w:r>
          </w:p>
        </w:tc>
        <w:tc>
          <w:tcPr>
            <w:tcW w:w="2282" w:type="dxa"/>
            <w:noWrap/>
            <w:vAlign w:val="center"/>
          </w:tcPr>
          <w:p>
            <w:pPr>
              <w:widowControl/>
              <w:snapToGrid w:val="0"/>
              <w:jc w:val="center"/>
              <w:textAlignment w:val="center"/>
              <w:rPr>
                <w:kern w:val="0"/>
                <w:szCs w:val="21"/>
              </w:rPr>
            </w:pPr>
            <w:r>
              <w:rPr>
                <w:kern w:val="0"/>
                <w:szCs w:val="21"/>
              </w:rPr>
              <w:t>乐泰567</w:t>
            </w:r>
          </w:p>
        </w:tc>
        <w:tc>
          <w:tcPr>
            <w:tcW w:w="742" w:type="dxa"/>
            <w:noWrap/>
            <w:vAlign w:val="center"/>
          </w:tcPr>
          <w:p>
            <w:pPr>
              <w:widowControl/>
              <w:snapToGrid w:val="0"/>
              <w:jc w:val="center"/>
              <w:textAlignment w:val="center"/>
              <w:rPr>
                <w:bCs/>
                <w:szCs w:val="21"/>
              </w:rPr>
            </w:pPr>
            <w:r>
              <w:rPr>
                <w:bCs/>
                <w:szCs w:val="21"/>
              </w:rPr>
              <w:t>Kg</w:t>
            </w:r>
          </w:p>
        </w:tc>
        <w:tc>
          <w:tcPr>
            <w:tcW w:w="890" w:type="dxa"/>
            <w:noWrap/>
            <w:vAlign w:val="center"/>
          </w:tcPr>
          <w:p>
            <w:pPr>
              <w:widowControl/>
              <w:snapToGrid w:val="0"/>
              <w:jc w:val="center"/>
              <w:textAlignment w:val="center"/>
              <w:rPr>
                <w:bCs/>
                <w:szCs w:val="21"/>
              </w:rPr>
            </w:pPr>
            <w:r>
              <w:rPr>
                <w:bCs/>
                <w:szCs w:val="21"/>
              </w:rPr>
              <w:t>49</w:t>
            </w:r>
          </w:p>
        </w:tc>
        <w:tc>
          <w:tcPr>
            <w:tcW w:w="2227" w:type="dxa"/>
            <w:tcBorders>
              <w:right w:val="single" w:color="auto" w:sz="4" w:space="0"/>
            </w:tcBorders>
            <w:noWrap/>
            <w:vAlign w:val="center"/>
          </w:tcPr>
          <w:p>
            <w:pPr>
              <w:widowControl/>
              <w:snapToGrid w:val="0"/>
              <w:jc w:val="center"/>
              <w:textAlignment w:val="center"/>
              <w:rPr>
                <w:bCs/>
                <w:szCs w:val="21"/>
              </w:rPr>
            </w:pPr>
            <w:r>
              <w:rPr>
                <w:bCs/>
                <w:szCs w:val="21"/>
              </w:rPr>
              <w:t>按照10万台/年计算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03" w:type="dxa"/>
            <w:vMerge w:val="continue"/>
            <w:tcBorders>
              <w:left w:val="single" w:color="auto" w:sz="4" w:space="0"/>
            </w:tcBorders>
            <w:noWrap/>
            <w:vAlign w:val="center"/>
          </w:tcPr>
          <w:p>
            <w:pPr>
              <w:pStyle w:val="19"/>
              <w:spacing w:line="240" w:lineRule="auto"/>
              <w:jc w:val="center"/>
              <w:rPr>
                <w:bCs/>
                <w:szCs w:val="21"/>
              </w:rPr>
            </w:pPr>
          </w:p>
        </w:tc>
        <w:tc>
          <w:tcPr>
            <w:tcW w:w="870" w:type="dxa"/>
            <w:vMerge w:val="continue"/>
            <w:noWrap/>
            <w:vAlign w:val="center"/>
          </w:tcPr>
          <w:p>
            <w:pPr>
              <w:widowControl/>
              <w:snapToGrid w:val="0"/>
              <w:jc w:val="center"/>
              <w:textAlignment w:val="center"/>
              <w:rPr>
                <w:bCs/>
                <w:szCs w:val="21"/>
              </w:rPr>
            </w:pPr>
          </w:p>
        </w:tc>
        <w:tc>
          <w:tcPr>
            <w:tcW w:w="1584" w:type="dxa"/>
            <w:noWrap/>
            <w:vAlign w:val="center"/>
          </w:tcPr>
          <w:p>
            <w:pPr>
              <w:widowControl/>
              <w:snapToGrid w:val="0"/>
              <w:jc w:val="center"/>
              <w:textAlignment w:val="center"/>
              <w:rPr>
                <w:bCs/>
                <w:szCs w:val="21"/>
              </w:rPr>
            </w:pPr>
            <w:r>
              <w:rPr>
                <w:bCs/>
                <w:szCs w:val="21"/>
              </w:rPr>
              <w:t>碗型塞密封胶</w:t>
            </w:r>
          </w:p>
        </w:tc>
        <w:tc>
          <w:tcPr>
            <w:tcW w:w="2282" w:type="dxa"/>
            <w:noWrap/>
            <w:vAlign w:val="center"/>
          </w:tcPr>
          <w:p>
            <w:pPr>
              <w:widowControl/>
              <w:snapToGrid w:val="0"/>
              <w:jc w:val="center"/>
              <w:textAlignment w:val="center"/>
              <w:rPr>
                <w:kern w:val="0"/>
                <w:szCs w:val="21"/>
              </w:rPr>
            </w:pPr>
            <w:r>
              <w:rPr>
                <w:kern w:val="0"/>
                <w:szCs w:val="21"/>
              </w:rPr>
              <w:t>乐泰12086</w:t>
            </w:r>
          </w:p>
        </w:tc>
        <w:tc>
          <w:tcPr>
            <w:tcW w:w="742" w:type="dxa"/>
            <w:noWrap/>
            <w:vAlign w:val="center"/>
          </w:tcPr>
          <w:p>
            <w:pPr>
              <w:widowControl/>
              <w:snapToGrid w:val="0"/>
              <w:jc w:val="center"/>
              <w:textAlignment w:val="center"/>
              <w:rPr>
                <w:bCs/>
                <w:szCs w:val="21"/>
              </w:rPr>
            </w:pPr>
            <w:r>
              <w:rPr>
                <w:bCs/>
                <w:szCs w:val="21"/>
              </w:rPr>
              <w:t>Kg</w:t>
            </w:r>
          </w:p>
        </w:tc>
        <w:tc>
          <w:tcPr>
            <w:tcW w:w="890" w:type="dxa"/>
            <w:noWrap/>
            <w:vAlign w:val="center"/>
          </w:tcPr>
          <w:p>
            <w:pPr>
              <w:widowControl/>
              <w:snapToGrid w:val="0"/>
              <w:jc w:val="center"/>
              <w:textAlignment w:val="center"/>
              <w:rPr>
                <w:bCs/>
                <w:szCs w:val="21"/>
              </w:rPr>
            </w:pPr>
            <w:r>
              <w:rPr>
                <w:bCs/>
                <w:szCs w:val="21"/>
              </w:rPr>
              <w:t>77</w:t>
            </w:r>
          </w:p>
        </w:tc>
        <w:tc>
          <w:tcPr>
            <w:tcW w:w="2227" w:type="dxa"/>
            <w:tcBorders>
              <w:right w:val="single" w:color="auto" w:sz="4" w:space="0"/>
            </w:tcBorders>
            <w:noWrap/>
            <w:vAlign w:val="center"/>
          </w:tcPr>
          <w:p>
            <w:pPr>
              <w:widowControl/>
              <w:snapToGrid w:val="0"/>
              <w:jc w:val="center"/>
              <w:textAlignment w:val="center"/>
              <w:rPr>
                <w:bCs/>
                <w:szCs w:val="21"/>
              </w:rPr>
            </w:pPr>
            <w:r>
              <w:rPr>
                <w:bCs/>
                <w:szCs w:val="21"/>
              </w:rPr>
              <w:t>按照10万台/年计算</w:t>
            </w:r>
          </w:p>
        </w:tc>
      </w:tr>
    </w:tbl>
    <w:p>
      <w:pPr>
        <w:spacing w:line="360" w:lineRule="auto"/>
        <w:ind w:firstLine="480" w:firstLineChars="200"/>
        <w:jc w:val="center"/>
        <w:rPr>
          <w:kern w:val="0"/>
          <w:sz w:val="24"/>
        </w:rPr>
      </w:pPr>
      <w:r>
        <w:rPr>
          <w:rFonts w:hint="eastAsia"/>
          <w:kern w:val="0"/>
          <w:sz w:val="24"/>
        </w:rPr>
        <w:t>表</w:t>
      </w:r>
      <w:r>
        <w:rPr>
          <w:kern w:val="0"/>
          <w:sz w:val="24"/>
        </w:rPr>
        <w:t>2</w:t>
      </w:r>
      <w:r>
        <w:rPr>
          <w:rFonts w:hint="eastAsia"/>
          <w:kern w:val="0"/>
          <w:sz w:val="24"/>
        </w:rPr>
        <w:t>-8装配试验车间主要原辅材料用量估算表</w:t>
      </w:r>
    </w:p>
    <w:tbl>
      <w:tblPr>
        <w:tblStyle w:val="52"/>
        <w:tblW w:w="93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08"/>
        <w:gridCol w:w="1522"/>
        <w:gridCol w:w="2570"/>
        <w:gridCol w:w="713"/>
        <w:gridCol w:w="855"/>
        <w:gridCol w:w="21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28" w:type="dxa"/>
            <w:tcBorders>
              <w:left w:val="single" w:color="auto" w:sz="4" w:space="0"/>
            </w:tcBorders>
            <w:noWrap/>
            <w:vAlign w:val="center"/>
          </w:tcPr>
          <w:p>
            <w:pPr>
              <w:pStyle w:val="19"/>
              <w:spacing w:line="240" w:lineRule="auto"/>
              <w:jc w:val="center"/>
              <w:rPr>
                <w:bCs/>
                <w:szCs w:val="21"/>
              </w:rPr>
            </w:pPr>
            <w:r>
              <w:rPr>
                <w:bCs/>
                <w:szCs w:val="21"/>
              </w:rPr>
              <w:t>序号</w:t>
            </w:r>
          </w:p>
        </w:tc>
        <w:tc>
          <w:tcPr>
            <w:tcW w:w="1108" w:type="dxa"/>
            <w:noWrap/>
            <w:vAlign w:val="center"/>
          </w:tcPr>
          <w:p>
            <w:pPr>
              <w:pStyle w:val="19"/>
              <w:spacing w:line="240" w:lineRule="auto"/>
              <w:jc w:val="center"/>
              <w:rPr>
                <w:bCs/>
                <w:szCs w:val="21"/>
              </w:rPr>
            </w:pPr>
            <w:r>
              <w:rPr>
                <w:bCs/>
                <w:szCs w:val="21"/>
              </w:rPr>
              <w:t>工序</w:t>
            </w:r>
          </w:p>
        </w:tc>
        <w:tc>
          <w:tcPr>
            <w:tcW w:w="1522" w:type="dxa"/>
            <w:noWrap/>
            <w:vAlign w:val="center"/>
          </w:tcPr>
          <w:p>
            <w:pPr>
              <w:pStyle w:val="19"/>
              <w:spacing w:line="240" w:lineRule="auto"/>
              <w:jc w:val="center"/>
              <w:rPr>
                <w:bCs/>
                <w:szCs w:val="21"/>
              </w:rPr>
            </w:pPr>
            <w:r>
              <w:rPr>
                <w:bCs/>
                <w:szCs w:val="21"/>
              </w:rPr>
              <w:t>原辅材料</w:t>
            </w:r>
          </w:p>
          <w:p>
            <w:pPr>
              <w:pStyle w:val="19"/>
              <w:spacing w:line="240" w:lineRule="auto"/>
              <w:jc w:val="center"/>
              <w:rPr>
                <w:bCs/>
                <w:szCs w:val="21"/>
              </w:rPr>
            </w:pPr>
            <w:r>
              <w:rPr>
                <w:bCs/>
                <w:szCs w:val="21"/>
              </w:rPr>
              <w:t>名称</w:t>
            </w:r>
          </w:p>
        </w:tc>
        <w:tc>
          <w:tcPr>
            <w:tcW w:w="2570" w:type="dxa"/>
            <w:noWrap/>
            <w:vAlign w:val="center"/>
          </w:tcPr>
          <w:p>
            <w:pPr>
              <w:pStyle w:val="19"/>
              <w:spacing w:line="240" w:lineRule="auto"/>
              <w:jc w:val="center"/>
              <w:rPr>
                <w:bCs/>
                <w:szCs w:val="21"/>
              </w:rPr>
            </w:pPr>
            <w:r>
              <w:rPr>
                <w:bCs/>
                <w:szCs w:val="21"/>
              </w:rPr>
              <w:t>规格</w:t>
            </w:r>
          </w:p>
        </w:tc>
        <w:tc>
          <w:tcPr>
            <w:tcW w:w="713" w:type="dxa"/>
            <w:noWrap/>
            <w:vAlign w:val="center"/>
          </w:tcPr>
          <w:p>
            <w:pPr>
              <w:pStyle w:val="19"/>
              <w:spacing w:line="240" w:lineRule="auto"/>
              <w:jc w:val="center"/>
              <w:rPr>
                <w:szCs w:val="21"/>
              </w:rPr>
            </w:pPr>
            <w:r>
              <w:rPr>
                <w:bCs/>
                <w:szCs w:val="21"/>
              </w:rPr>
              <w:t>单位</w:t>
            </w:r>
          </w:p>
        </w:tc>
        <w:tc>
          <w:tcPr>
            <w:tcW w:w="855" w:type="dxa"/>
            <w:noWrap/>
            <w:vAlign w:val="center"/>
          </w:tcPr>
          <w:p>
            <w:pPr>
              <w:pStyle w:val="19"/>
              <w:spacing w:line="240" w:lineRule="auto"/>
              <w:jc w:val="center"/>
              <w:rPr>
                <w:szCs w:val="21"/>
              </w:rPr>
            </w:pPr>
            <w:r>
              <w:rPr>
                <w:szCs w:val="21"/>
              </w:rPr>
              <w:t>年消</w:t>
            </w:r>
          </w:p>
          <w:p>
            <w:pPr>
              <w:pStyle w:val="19"/>
              <w:spacing w:line="240" w:lineRule="auto"/>
              <w:jc w:val="center"/>
              <w:rPr>
                <w:bCs/>
                <w:szCs w:val="21"/>
              </w:rPr>
            </w:pPr>
            <w:r>
              <w:rPr>
                <w:szCs w:val="21"/>
              </w:rPr>
              <w:t>耗量</w:t>
            </w:r>
          </w:p>
        </w:tc>
        <w:tc>
          <w:tcPr>
            <w:tcW w:w="2141" w:type="dxa"/>
            <w:tcBorders>
              <w:right w:val="single" w:color="auto" w:sz="4" w:space="0"/>
            </w:tcBorders>
            <w:noWrap/>
            <w:vAlign w:val="center"/>
          </w:tcPr>
          <w:p>
            <w:pPr>
              <w:pStyle w:val="19"/>
              <w:spacing w:line="240" w:lineRule="auto"/>
              <w:jc w:val="center"/>
              <w:rPr>
                <w:bCs/>
                <w:szCs w:val="21"/>
              </w:rPr>
            </w:pPr>
            <w:r>
              <w:rPr>
                <w:bCs/>
                <w:szCs w:val="21"/>
              </w:rPr>
              <w:t>备注说明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8" w:type="dxa"/>
            <w:vMerge w:val="restart"/>
            <w:tcBorders>
              <w:left w:val="single" w:color="auto" w:sz="4" w:space="0"/>
            </w:tcBorders>
            <w:noWrap/>
            <w:vAlign w:val="center"/>
          </w:tcPr>
          <w:p>
            <w:pPr>
              <w:pStyle w:val="19"/>
              <w:spacing w:line="240" w:lineRule="auto"/>
              <w:jc w:val="center"/>
              <w:rPr>
                <w:bCs/>
                <w:szCs w:val="21"/>
              </w:rPr>
            </w:pPr>
            <w:r>
              <w:rPr>
                <w:bCs/>
                <w:szCs w:val="21"/>
              </w:rPr>
              <w:t>1</w:t>
            </w:r>
          </w:p>
        </w:tc>
        <w:tc>
          <w:tcPr>
            <w:tcW w:w="1108" w:type="dxa"/>
            <w:vMerge w:val="restart"/>
            <w:noWrap/>
            <w:vAlign w:val="center"/>
          </w:tcPr>
          <w:p>
            <w:pPr>
              <w:autoSpaceDE w:val="0"/>
              <w:autoSpaceDN w:val="0"/>
              <w:adjustRightInd w:val="0"/>
              <w:snapToGrid w:val="0"/>
              <w:jc w:val="center"/>
              <w:rPr>
                <w:bCs/>
                <w:szCs w:val="21"/>
              </w:rPr>
            </w:pPr>
            <w:r>
              <w:rPr>
                <w:bCs/>
                <w:szCs w:val="21"/>
              </w:rPr>
              <w:t>总装、试车</w:t>
            </w:r>
          </w:p>
        </w:tc>
        <w:tc>
          <w:tcPr>
            <w:tcW w:w="1522" w:type="dxa"/>
            <w:noWrap/>
          </w:tcPr>
          <w:p>
            <w:pPr>
              <w:autoSpaceDE w:val="0"/>
              <w:autoSpaceDN w:val="0"/>
              <w:adjustRightInd w:val="0"/>
              <w:snapToGrid w:val="0"/>
              <w:jc w:val="center"/>
              <w:rPr>
                <w:bCs/>
                <w:szCs w:val="21"/>
              </w:rPr>
            </w:pPr>
            <w:r>
              <w:rPr>
                <w:bCs/>
                <w:szCs w:val="21"/>
              </w:rPr>
              <w:t>汽油</w:t>
            </w:r>
          </w:p>
        </w:tc>
        <w:tc>
          <w:tcPr>
            <w:tcW w:w="2570" w:type="dxa"/>
            <w:noWrap/>
            <w:vAlign w:val="center"/>
          </w:tcPr>
          <w:p>
            <w:pPr>
              <w:widowControl/>
              <w:snapToGrid w:val="0"/>
              <w:jc w:val="center"/>
              <w:textAlignment w:val="center"/>
              <w:rPr>
                <w:bCs/>
                <w:szCs w:val="21"/>
              </w:rPr>
            </w:pPr>
            <w:r>
              <w:rPr>
                <w:kern w:val="0"/>
                <w:szCs w:val="21"/>
              </w:rPr>
              <w:t>RON 92</w:t>
            </w:r>
          </w:p>
        </w:tc>
        <w:tc>
          <w:tcPr>
            <w:tcW w:w="713" w:type="dxa"/>
            <w:noWrap/>
            <w:vAlign w:val="center"/>
          </w:tcPr>
          <w:p>
            <w:pPr>
              <w:widowControl/>
              <w:snapToGrid w:val="0"/>
              <w:jc w:val="center"/>
              <w:textAlignment w:val="center"/>
              <w:rPr>
                <w:szCs w:val="21"/>
              </w:rPr>
            </w:pPr>
            <w:r>
              <w:rPr>
                <w:szCs w:val="21"/>
              </w:rPr>
              <w:t>吨</w:t>
            </w:r>
          </w:p>
        </w:tc>
        <w:tc>
          <w:tcPr>
            <w:tcW w:w="855" w:type="dxa"/>
            <w:noWrap/>
            <w:vAlign w:val="center"/>
          </w:tcPr>
          <w:p>
            <w:pPr>
              <w:widowControl/>
              <w:snapToGrid w:val="0"/>
              <w:jc w:val="center"/>
              <w:textAlignment w:val="center"/>
              <w:rPr>
                <w:bCs/>
                <w:szCs w:val="21"/>
              </w:rPr>
            </w:pPr>
            <w:r>
              <w:rPr>
                <w:bCs/>
                <w:szCs w:val="21"/>
              </w:rPr>
              <w:t>70</w:t>
            </w:r>
          </w:p>
        </w:tc>
        <w:tc>
          <w:tcPr>
            <w:tcW w:w="2141" w:type="dxa"/>
            <w:tcBorders>
              <w:right w:val="single" w:color="auto" w:sz="4" w:space="0"/>
            </w:tcBorders>
            <w:noWrap/>
            <w:vAlign w:val="center"/>
          </w:tcPr>
          <w:p>
            <w:pPr>
              <w:widowControl/>
              <w:snapToGrid w:val="0"/>
              <w:jc w:val="center"/>
              <w:textAlignment w:val="center"/>
              <w:rPr>
                <w:bCs/>
                <w:szCs w:val="21"/>
              </w:rPr>
            </w:pPr>
            <w:r>
              <w:rPr>
                <w:bCs/>
                <w:szCs w:val="21"/>
              </w:rPr>
              <w:t>按照10万台/年计算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8" w:type="dxa"/>
            <w:vMerge w:val="continue"/>
            <w:tcBorders>
              <w:left w:val="single" w:color="auto" w:sz="4" w:space="0"/>
            </w:tcBorders>
            <w:noWrap/>
            <w:vAlign w:val="center"/>
          </w:tcPr>
          <w:p>
            <w:pPr>
              <w:pStyle w:val="19"/>
              <w:spacing w:line="240" w:lineRule="auto"/>
              <w:jc w:val="center"/>
              <w:rPr>
                <w:bCs/>
                <w:szCs w:val="21"/>
              </w:rPr>
            </w:pPr>
          </w:p>
        </w:tc>
        <w:tc>
          <w:tcPr>
            <w:tcW w:w="1108" w:type="dxa"/>
            <w:vMerge w:val="continue"/>
            <w:noWrap/>
            <w:vAlign w:val="center"/>
          </w:tcPr>
          <w:p>
            <w:pPr>
              <w:autoSpaceDE w:val="0"/>
              <w:autoSpaceDN w:val="0"/>
              <w:adjustRightInd w:val="0"/>
              <w:snapToGrid w:val="0"/>
              <w:jc w:val="center"/>
              <w:rPr>
                <w:kern w:val="0"/>
                <w:szCs w:val="21"/>
              </w:rPr>
            </w:pPr>
          </w:p>
        </w:tc>
        <w:tc>
          <w:tcPr>
            <w:tcW w:w="1522" w:type="dxa"/>
            <w:noWrap/>
          </w:tcPr>
          <w:p>
            <w:pPr>
              <w:autoSpaceDE w:val="0"/>
              <w:autoSpaceDN w:val="0"/>
              <w:adjustRightInd w:val="0"/>
              <w:snapToGrid w:val="0"/>
              <w:jc w:val="center"/>
              <w:rPr>
                <w:bCs/>
                <w:szCs w:val="21"/>
              </w:rPr>
            </w:pPr>
            <w:r>
              <w:rPr>
                <w:kern w:val="0"/>
                <w:szCs w:val="21"/>
              </w:rPr>
              <w:t>机油</w:t>
            </w:r>
          </w:p>
        </w:tc>
        <w:tc>
          <w:tcPr>
            <w:tcW w:w="2570" w:type="dxa"/>
            <w:noWrap/>
            <w:vAlign w:val="center"/>
          </w:tcPr>
          <w:p>
            <w:pPr>
              <w:widowControl/>
              <w:snapToGrid w:val="0"/>
              <w:jc w:val="center"/>
              <w:textAlignment w:val="center"/>
              <w:rPr>
                <w:bCs/>
                <w:szCs w:val="21"/>
              </w:rPr>
            </w:pPr>
            <w:r>
              <w:rPr>
                <w:kern w:val="0"/>
                <w:szCs w:val="21"/>
              </w:rPr>
              <w:t>SM 5W-30</w:t>
            </w:r>
          </w:p>
        </w:tc>
        <w:tc>
          <w:tcPr>
            <w:tcW w:w="713" w:type="dxa"/>
            <w:noWrap/>
            <w:vAlign w:val="center"/>
          </w:tcPr>
          <w:p>
            <w:pPr>
              <w:widowControl/>
              <w:snapToGrid w:val="0"/>
              <w:jc w:val="center"/>
              <w:textAlignment w:val="center"/>
              <w:rPr>
                <w:szCs w:val="21"/>
              </w:rPr>
            </w:pPr>
            <w:r>
              <w:rPr>
                <w:szCs w:val="21"/>
              </w:rPr>
              <w:t>吨</w:t>
            </w:r>
          </w:p>
        </w:tc>
        <w:tc>
          <w:tcPr>
            <w:tcW w:w="855" w:type="dxa"/>
            <w:noWrap/>
            <w:vAlign w:val="center"/>
          </w:tcPr>
          <w:p>
            <w:pPr>
              <w:widowControl/>
              <w:snapToGrid w:val="0"/>
              <w:jc w:val="center"/>
              <w:textAlignment w:val="center"/>
              <w:rPr>
                <w:bCs/>
                <w:szCs w:val="21"/>
              </w:rPr>
            </w:pPr>
            <w:r>
              <w:rPr>
                <w:bCs/>
                <w:szCs w:val="21"/>
              </w:rPr>
              <w:t>40</w:t>
            </w:r>
          </w:p>
        </w:tc>
        <w:tc>
          <w:tcPr>
            <w:tcW w:w="2141" w:type="dxa"/>
            <w:tcBorders>
              <w:right w:val="single" w:color="auto" w:sz="4" w:space="0"/>
            </w:tcBorders>
            <w:noWrap/>
            <w:vAlign w:val="center"/>
          </w:tcPr>
          <w:p>
            <w:pPr>
              <w:widowControl/>
              <w:snapToGrid w:val="0"/>
              <w:jc w:val="center"/>
              <w:textAlignment w:val="center"/>
              <w:rPr>
                <w:bCs/>
                <w:szCs w:val="21"/>
              </w:rPr>
            </w:pPr>
            <w:r>
              <w:rPr>
                <w:bCs/>
                <w:szCs w:val="21"/>
              </w:rPr>
              <w:t>按照10万台/年计算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8" w:type="dxa"/>
            <w:vMerge w:val="continue"/>
            <w:tcBorders>
              <w:left w:val="single" w:color="auto" w:sz="4" w:space="0"/>
            </w:tcBorders>
            <w:noWrap/>
            <w:vAlign w:val="center"/>
          </w:tcPr>
          <w:p>
            <w:pPr>
              <w:pStyle w:val="19"/>
              <w:spacing w:line="240" w:lineRule="auto"/>
              <w:jc w:val="center"/>
              <w:rPr>
                <w:bCs/>
                <w:szCs w:val="21"/>
              </w:rPr>
            </w:pPr>
          </w:p>
        </w:tc>
        <w:tc>
          <w:tcPr>
            <w:tcW w:w="1108" w:type="dxa"/>
            <w:vMerge w:val="continue"/>
            <w:noWrap/>
            <w:vAlign w:val="center"/>
          </w:tcPr>
          <w:p>
            <w:pPr>
              <w:autoSpaceDE w:val="0"/>
              <w:autoSpaceDN w:val="0"/>
              <w:adjustRightInd w:val="0"/>
              <w:snapToGrid w:val="0"/>
              <w:jc w:val="center"/>
              <w:rPr>
                <w:kern w:val="0"/>
                <w:szCs w:val="21"/>
              </w:rPr>
            </w:pPr>
          </w:p>
        </w:tc>
        <w:tc>
          <w:tcPr>
            <w:tcW w:w="1522" w:type="dxa"/>
            <w:noWrap/>
            <w:vAlign w:val="center"/>
          </w:tcPr>
          <w:p>
            <w:pPr>
              <w:widowControl/>
              <w:snapToGrid w:val="0"/>
              <w:jc w:val="center"/>
              <w:textAlignment w:val="center"/>
              <w:rPr>
                <w:bCs/>
                <w:szCs w:val="21"/>
              </w:rPr>
            </w:pPr>
            <w:r>
              <w:rPr>
                <w:bCs/>
                <w:szCs w:val="21"/>
              </w:rPr>
              <w:t>平面密封胶</w:t>
            </w:r>
          </w:p>
        </w:tc>
        <w:tc>
          <w:tcPr>
            <w:tcW w:w="2570" w:type="dxa"/>
            <w:noWrap/>
            <w:vAlign w:val="center"/>
          </w:tcPr>
          <w:p>
            <w:pPr>
              <w:widowControl/>
              <w:snapToGrid w:val="0"/>
              <w:jc w:val="center"/>
              <w:textAlignment w:val="center"/>
              <w:rPr>
                <w:kern w:val="0"/>
                <w:szCs w:val="21"/>
              </w:rPr>
            </w:pPr>
            <w:r>
              <w:rPr>
                <w:kern w:val="0"/>
                <w:szCs w:val="21"/>
              </w:rPr>
              <w:t>科瑞5590</w:t>
            </w:r>
          </w:p>
        </w:tc>
        <w:tc>
          <w:tcPr>
            <w:tcW w:w="713" w:type="dxa"/>
            <w:noWrap/>
            <w:vAlign w:val="center"/>
          </w:tcPr>
          <w:p>
            <w:pPr>
              <w:widowControl/>
              <w:snapToGrid w:val="0"/>
              <w:jc w:val="center"/>
              <w:textAlignment w:val="center"/>
              <w:rPr>
                <w:bCs/>
                <w:szCs w:val="21"/>
              </w:rPr>
            </w:pPr>
            <w:r>
              <w:rPr>
                <w:bCs/>
                <w:szCs w:val="21"/>
              </w:rPr>
              <w:t>吨</w:t>
            </w:r>
          </w:p>
        </w:tc>
        <w:tc>
          <w:tcPr>
            <w:tcW w:w="855" w:type="dxa"/>
            <w:noWrap/>
            <w:vAlign w:val="center"/>
          </w:tcPr>
          <w:p>
            <w:pPr>
              <w:widowControl/>
              <w:snapToGrid w:val="0"/>
              <w:jc w:val="center"/>
              <w:textAlignment w:val="center"/>
              <w:rPr>
                <w:bCs/>
                <w:szCs w:val="21"/>
              </w:rPr>
            </w:pPr>
            <w:r>
              <w:rPr>
                <w:bCs/>
                <w:szCs w:val="21"/>
              </w:rPr>
              <w:t>3.5</w:t>
            </w:r>
          </w:p>
        </w:tc>
        <w:tc>
          <w:tcPr>
            <w:tcW w:w="2141" w:type="dxa"/>
            <w:tcBorders>
              <w:right w:val="single" w:color="auto" w:sz="4" w:space="0"/>
            </w:tcBorders>
            <w:noWrap/>
            <w:vAlign w:val="center"/>
          </w:tcPr>
          <w:p>
            <w:pPr>
              <w:widowControl/>
              <w:snapToGrid w:val="0"/>
              <w:jc w:val="center"/>
              <w:textAlignment w:val="center"/>
              <w:rPr>
                <w:bCs/>
                <w:szCs w:val="21"/>
              </w:rPr>
            </w:pPr>
            <w:r>
              <w:rPr>
                <w:bCs/>
                <w:szCs w:val="21"/>
              </w:rPr>
              <w:t>按照10万台/年计算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28" w:type="dxa"/>
            <w:vMerge w:val="continue"/>
            <w:tcBorders>
              <w:left w:val="single" w:color="auto" w:sz="4" w:space="0"/>
            </w:tcBorders>
            <w:noWrap/>
            <w:vAlign w:val="center"/>
          </w:tcPr>
          <w:p>
            <w:pPr>
              <w:pStyle w:val="19"/>
              <w:spacing w:line="240" w:lineRule="auto"/>
              <w:jc w:val="center"/>
              <w:rPr>
                <w:bCs/>
                <w:szCs w:val="21"/>
              </w:rPr>
            </w:pPr>
          </w:p>
        </w:tc>
        <w:tc>
          <w:tcPr>
            <w:tcW w:w="1108" w:type="dxa"/>
            <w:vMerge w:val="continue"/>
            <w:noWrap/>
            <w:vAlign w:val="center"/>
          </w:tcPr>
          <w:p>
            <w:pPr>
              <w:autoSpaceDE w:val="0"/>
              <w:autoSpaceDN w:val="0"/>
              <w:adjustRightInd w:val="0"/>
              <w:snapToGrid w:val="0"/>
              <w:jc w:val="center"/>
              <w:rPr>
                <w:kern w:val="0"/>
                <w:szCs w:val="21"/>
              </w:rPr>
            </w:pPr>
          </w:p>
        </w:tc>
        <w:tc>
          <w:tcPr>
            <w:tcW w:w="1522" w:type="dxa"/>
            <w:noWrap/>
            <w:vAlign w:val="center"/>
          </w:tcPr>
          <w:p>
            <w:pPr>
              <w:widowControl/>
              <w:snapToGrid w:val="0"/>
              <w:jc w:val="center"/>
              <w:textAlignment w:val="center"/>
              <w:rPr>
                <w:bCs/>
                <w:szCs w:val="21"/>
              </w:rPr>
            </w:pPr>
            <w:r>
              <w:rPr>
                <w:bCs/>
                <w:szCs w:val="21"/>
              </w:rPr>
              <w:t>螺纹密封胶</w:t>
            </w:r>
          </w:p>
        </w:tc>
        <w:tc>
          <w:tcPr>
            <w:tcW w:w="2570" w:type="dxa"/>
            <w:noWrap/>
            <w:vAlign w:val="center"/>
          </w:tcPr>
          <w:p>
            <w:pPr>
              <w:widowControl/>
              <w:snapToGrid w:val="0"/>
              <w:jc w:val="center"/>
              <w:textAlignment w:val="center"/>
              <w:rPr>
                <w:kern w:val="0"/>
                <w:szCs w:val="21"/>
              </w:rPr>
            </w:pPr>
            <w:r>
              <w:rPr>
                <w:kern w:val="0"/>
                <w:szCs w:val="21"/>
              </w:rPr>
              <w:t>乐泰567</w:t>
            </w:r>
          </w:p>
        </w:tc>
        <w:tc>
          <w:tcPr>
            <w:tcW w:w="713" w:type="dxa"/>
            <w:noWrap/>
            <w:vAlign w:val="center"/>
          </w:tcPr>
          <w:p>
            <w:pPr>
              <w:widowControl/>
              <w:snapToGrid w:val="0"/>
              <w:jc w:val="center"/>
              <w:textAlignment w:val="center"/>
              <w:rPr>
                <w:bCs/>
                <w:szCs w:val="21"/>
              </w:rPr>
            </w:pPr>
            <w:r>
              <w:rPr>
                <w:bCs/>
                <w:szCs w:val="21"/>
              </w:rPr>
              <w:t>吨</w:t>
            </w:r>
          </w:p>
        </w:tc>
        <w:tc>
          <w:tcPr>
            <w:tcW w:w="855" w:type="dxa"/>
            <w:noWrap/>
            <w:vAlign w:val="center"/>
          </w:tcPr>
          <w:p>
            <w:pPr>
              <w:widowControl/>
              <w:snapToGrid w:val="0"/>
              <w:jc w:val="center"/>
              <w:textAlignment w:val="center"/>
              <w:rPr>
                <w:bCs/>
                <w:szCs w:val="21"/>
              </w:rPr>
            </w:pPr>
            <w:r>
              <w:rPr>
                <w:bCs/>
                <w:szCs w:val="21"/>
              </w:rPr>
              <w:t>2</w:t>
            </w:r>
          </w:p>
        </w:tc>
        <w:tc>
          <w:tcPr>
            <w:tcW w:w="2141" w:type="dxa"/>
            <w:tcBorders>
              <w:right w:val="single" w:color="auto" w:sz="4" w:space="0"/>
            </w:tcBorders>
            <w:noWrap/>
            <w:vAlign w:val="center"/>
          </w:tcPr>
          <w:p>
            <w:pPr>
              <w:widowControl/>
              <w:snapToGrid w:val="0"/>
              <w:jc w:val="center"/>
              <w:textAlignment w:val="center"/>
              <w:rPr>
                <w:bCs/>
                <w:szCs w:val="21"/>
              </w:rPr>
            </w:pPr>
            <w:r>
              <w:rPr>
                <w:bCs/>
                <w:szCs w:val="21"/>
              </w:rPr>
              <w:t>按照10万台/年计算</w:t>
            </w:r>
          </w:p>
        </w:tc>
      </w:tr>
    </w:tbl>
    <w:p>
      <w:pPr>
        <w:spacing w:line="360" w:lineRule="auto"/>
        <w:ind w:firstLine="480" w:firstLineChars="200"/>
        <w:jc w:val="center"/>
        <w:rPr>
          <w:kern w:val="0"/>
          <w:sz w:val="24"/>
        </w:rPr>
      </w:pPr>
      <w:r>
        <w:rPr>
          <w:rFonts w:hint="eastAsia"/>
          <w:kern w:val="0"/>
          <w:sz w:val="24"/>
        </w:rPr>
        <w:t>表</w:t>
      </w:r>
      <w:r>
        <w:rPr>
          <w:kern w:val="0"/>
          <w:sz w:val="24"/>
        </w:rPr>
        <w:t>2</w:t>
      </w:r>
      <w:r>
        <w:rPr>
          <w:rFonts w:hint="eastAsia"/>
          <w:kern w:val="0"/>
          <w:sz w:val="24"/>
        </w:rPr>
        <w:t>-9后装车间主要原辅材料用量估算表</w:t>
      </w:r>
    </w:p>
    <w:tbl>
      <w:tblPr>
        <w:tblStyle w:val="52"/>
        <w:tblW w:w="93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77"/>
        <w:gridCol w:w="1512"/>
        <w:gridCol w:w="2551"/>
        <w:gridCol w:w="709"/>
        <w:gridCol w:w="850"/>
        <w:gridCol w:w="21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72" w:type="dxa"/>
            <w:tcBorders>
              <w:left w:val="single" w:color="auto" w:sz="4" w:space="0"/>
            </w:tcBorders>
            <w:noWrap/>
            <w:vAlign w:val="center"/>
          </w:tcPr>
          <w:p>
            <w:pPr>
              <w:pStyle w:val="19"/>
              <w:spacing w:line="240" w:lineRule="auto"/>
              <w:jc w:val="center"/>
              <w:rPr>
                <w:rFonts w:ascii="宋体" w:hAnsi="宋体"/>
                <w:bCs/>
                <w:szCs w:val="21"/>
              </w:rPr>
            </w:pPr>
            <w:r>
              <w:rPr>
                <w:rFonts w:ascii="宋体" w:hAnsi="宋体"/>
                <w:bCs/>
                <w:szCs w:val="21"/>
              </w:rPr>
              <w:t>序号</w:t>
            </w:r>
          </w:p>
        </w:tc>
        <w:tc>
          <w:tcPr>
            <w:tcW w:w="977" w:type="dxa"/>
            <w:noWrap/>
            <w:vAlign w:val="center"/>
          </w:tcPr>
          <w:p>
            <w:pPr>
              <w:pStyle w:val="19"/>
              <w:spacing w:line="240" w:lineRule="auto"/>
              <w:jc w:val="center"/>
              <w:rPr>
                <w:rFonts w:ascii="宋体" w:hAnsi="宋体"/>
                <w:bCs/>
                <w:szCs w:val="21"/>
              </w:rPr>
            </w:pPr>
            <w:r>
              <w:rPr>
                <w:rFonts w:hint="eastAsia" w:ascii="宋体" w:hAnsi="宋体"/>
                <w:bCs/>
                <w:szCs w:val="21"/>
              </w:rPr>
              <w:t>工序</w:t>
            </w:r>
          </w:p>
        </w:tc>
        <w:tc>
          <w:tcPr>
            <w:tcW w:w="1512" w:type="dxa"/>
            <w:noWrap/>
            <w:vAlign w:val="center"/>
          </w:tcPr>
          <w:p>
            <w:pPr>
              <w:pStyle w:val="19"/>
              <w:spacing w:line="240" w:lineRule="auto"/>
              <w:jc w:val="center"/>
              <w:rPr>
                <w:rFonts w:ascii="宋体" w:hAnsi="宋体"/>
                <w:bCs/>
                <w:szCs w:val="21"/>
              </w:rPr>
            </w:pPr>
            <w:r>
              <w:rPr>
                <w:rFonts w:ascii="宋体" w:hAnsi="宋体"/>
                <w:bCs/>
                <w:szCs w:val="21"/>
              </w:rPr>
              <w:t>原辅材料</w:t>
            </w:r>
          </w:p>
          <w:p>
            <w:pPr>
              <w:pStyle w:val="19"/>
              <w:spacing w:line="240" w:lineRule="auto"/>
              <w:jc w:val="center"/>
              <w:rPr>
                <w:rFonts w:ascii="宋体" w:hAnsi="宋体"/>
                <w:bCs/>
                <w:szCs w:val="21"/>
              </w:rPr>
            </w:pPr>
            <w:r>
              <w:rPr>
                <w:rFonts w:ascii="宋体" w:hAnsi="宋体"/>
                <w:bCs/>
                <w:szCs w:val="21"/>
              </w:rPr>
              <w:t>名称</w:t>
            </w:r>
          </w:p>
        </w:tc>
        <w:tc>
          <w:tcPr>
            <w:tcW w:w="2551" w:type="dxa"/>
            <w:noWrap/>
            <w:vAlign w:val="center"/>
          </w:tcPr>
          <w:p>
            <w:pPr>
              <w:pStyle w:val="19"/>
              <w:spacing w:line="240" w:lineRule="auto"/>
              <w:jc w:val="center"/>
              <w:rPr>
                <w:rFonts w:ascii="宋体" w:hAnsi="宋体"/>
                <w:bCs/>
                <w:szCs w:val="21"/>
              </w:rPr>
            </w:pPr>
            <w:r>
              <w:rPr>
                <w:rFonts w:hint="eastAsia" w:ascii="宋体" w:hAnsi="宋体"/>
                <w:bCs/>
                <w:szCs w:val="21"/>
              </w:rPr>
              <w:t>规格</w:t>
            </w:r>
          </w:p>
        </w:tc>
        <w:tc>
          <w:tcPr>
            <w:tcW w:w="709" w:type="dxa"/>
            <w:noWrap/>
            <w:vAlign w:val="center"/>
          </w:tcPr>
          <w:p>
            <w:pPr>
              <w:pStyle w:val="19"/>
              <w:spacing w:line="240" w:lineRule="auto"/>
              <w:jc w:val="center"/>
              <w:rPr>
                <w:rFonts w:ascii="宋体" w:hAnsi="宋体"/>
                <w:szCs w:val="21"/>
              </w:rPr>
            </w:pPr>
            <w:r>
              <w:rPr>
                <w:rFonts w:ascii="宋体" w:hAnsi="宋体"/>
                <w:bCs/>
                <w:szCs w:val="21"/>
              </w:rPr>
              <w:t>单位</w:t>
            </w:r>
          </w:p>
        </w:tc>
        <w:tc>
          <w:tcPr>
            <w:tcW w:w="850" w:type="dxa"/>
            <w:noWrap/>
            <w:vAlign w:val="center"/>
          </w:tcPr>
          <w:p>
            <w:pPr>
              <w:pStyle w:val="19"/>
              <w:spacing w:line="240" w:lineRule="auto"/>
              <w:jc w:val="center"/>
              <w:rPr>
                <w:rFonts w:ascii="宋体" w:hAnsi="宋体"/>
                <w:szCs w:val="21"/>
              </w:rPr>
            </w:pPr>
            <w:r>
              <w:rPr>
                <w:rFonts w:ascii="宋体" w:hAnsi="宋体"/>
                <w:szCs w:val="21"/>
              </w:rPr>
              <w:t>年消</w:t>
            </w:r>
          </w:p>
          <w:p>
            <w:pPr>
              <w:pStyle w:val="19"/>
              <w:spacing w:line="240" w:lineRule="auto"/>
              <w:jc w:val="center"/>
              <w:rPr>
                <w:rFonts w:ascii="宋体" w:hAnsi="宋体"/>
                <w:bCs/>
                <w:szCs w:val="21"/>
              </w:rPr>
            </w:pPr>
            <w:r>
              <w:rPr>
                <w:rFonts w:ascii="宋体" w:hAnsi="宋体"/>
                <w:szCs w:val="21"/>
              </w:rPr>
              <w:t>耗量</w:t>
            </w:r>
          </w:p>
        </w:tc>
        <w:tc>
          <w:tcPr>
            <w:tcW w:w="2125" w:type="dxa"/>
            <w:tcBorders>
              <w:right w:val="single" w:color="auto" w:sz="4" w:space="0"/>
            </w:tcBorders>
            <w:noWrap/>
            <w:vAlign w:val="center"/>
          </w:tcPr>
          <w:p>
            <w:pPr>
              <w:pStyle w:val="19"/>
              <w:spacing w:line="240" w:lineRule="auto"/>
              <w:jc w:val="center"/>
              <w:rPr>
                <w:rFonts w:ascii="宋体" w:hAnsi="宋体"/>
                <w:bCs/>
                <w:szCs w:val="21"/>
              </w:rPr>
            </w:pPr>
            <w:r>
              <w:rPr>
                <w:rFonts w:hint="eastAsia" w:ascii="宋体" w:hAnsi="宋体"/>
                <w:bCs/>
                <w:szCs w:val="21"/>
              </w:rPr>
              <w:t>备注说明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restart"/>
            <w:tcBorders>
              <w:left w:val="single" w:color="auto" w:sz="4" w:space="0"/>
            </w:tcBorders>
            <w:noWrap/>
            <w:vAlign w:val="center"/>
          </w:tcPr>
          <w:p>
            <w:pPr>
              <w:pStyle w:val="19"/>
              <w:spacing w:line="240" w:lineRule="auto"/>
              <w:jc w:val="center"/>
              <w:rPr>
                <w:rFonts w:ascii="宋体" w:hAnsi="宋体"/>
                <w:bCs/>
                <w:szCs w:val="21"/>
              </w:rPr>
            </w:pPr>
            <w:r>
              <w:rPr>
                <w:rFonts w:ascii="宋体" w:hAnsi="宋体"/>
                <w:bCs/>
                <w:szCs w:val="21"/>
              </w:rPr>
              <w:t>1</w:t>
            </w:r>
          </w:p>
        </w:tc>
        <w:tc>
          <w:tcPr>
            <w:tcW w:w="977" w:type="dxa"/>
            <w:vMerge w:val="restart"/>
            <w:noWrap/>
            <w:vAlign w:val="center"/>
          </w:tcPr>
          <w:p>
            <w:pPr>
              <w:widowControl/>
              <w:snapToGrid w:val="0"/>
              <w:jc w:val="center"/>
              <w:textAlignment w:val="center"/>
              <w:rPr>
                <w:rFonts w:ascii="宋体" w:hAnsi="宋体"/>
                <w:bCs/>
                <w:szCs w:val="21"/>
              </w:rPr>
            </w:pPr>
            <w:r>
              <w:rPr>
                <w:rFonts w:hint="eastAsia" w:ascii="宋体" w:hAnsi="宋体"/>
                <w:bCs/>
                <w:szCs w:val="21"/>
              </w:rPr>
              <w:t>涂装、后装线</w:t>
            </w:r>
          </w:p>
        </w:tc>
        <w:tc>
          <w:tcPr>
            <w:tcW w:w="1512" w:type="dxa"/>
            <w:noWrap/>
            <w:vAlign w:val="center"/>
          </w:tcPr>
          <w:p>
            <w:pPr>
              <w:widowControl/>
              <w:snapToGrid w:val="0"/>
              <w:jc w:val="center"/>
              <w:textAlignment w:val="center"/>
              <w:rPr>
                <w:rFonts w:ascii="宋体" w:hAnsi="宋体"/>
                <w:bCs/>
                <w:szCs w:val="21"/>
              </w:rPr>
            </w:pPr>
            <w:r>
              <w:rPr>
                <w:rFonts w:hint="eastAsia" w:ascii="宋体" w:hAnsi="宋体"/>
                <w:bCs/>
                <w:szCs w:val="21"/>
              </w:rPr>
              <w:t>清漆</w:t>
            </w:r>
          </w:p>
        </w:tc>
        <w:tc>
          <w:tcPr>
            <w:tcW w:w="2551" w:type="dxa"/>
            <w:noWrap/>
            <w:vAlign w:val="center"/>
          </w:tcPr>
          <w:p>
            <w:pPr>
              <w:widowControl/>
              <w:snapToGrid w:val="0"/>
              <w:jc w:val="center"/>
              <w:textAlignment w:val="center"/>
              <w:rPr>
                <w:rFonts w:ascii="宋体" w:hAnsi="宋体"/>
                <w:bCs/>
                <w:szCs w:val="21"/>
              </w:rPr>
            </w:pPr>
            <w:r>
              <w:rPr>
                <w:rFonts w:hint="eastAsia"/>
                <w:sz w:val="24"/>
              </w:rPr>
              <w:t>BH53-78</w:t>
            </w:r>
          </w:p>
        </w:tc>
        <w:tc>
          <w:tcPr>
            <w:tcW w:w="709" w:type="dxa"/>
            <w:noWrap/>
            <w:vAlign w:val="center"/>
          </w:tcPr>
          <w:p>
            <w:pPr>
              <w:widowControl/>
              <w:snapToGrid w:val="0"/>
              <w:jc w:val="center"/>
              <w:textAlignment w:val="center"/>
              <w:rPr>
                <w:rFonts w:ascii="宋体" w:hAnsi="宋体"/>
                <w:szCs w:val="21"/>
              </w:rPr>
            </w:pPr>
            <w:r>
              <w:rPr>
                <w:rFonts w:hint="eastAsia" w:ascii="宋体" w:hAnsi="宋体"/>
                <w:szCs w:val="21"/>
              </w:rPr>
              <w:t>吨</w:t>
            </w:r>
          </w:p>
        </w:tc>
        <w:tc>
          <w:tcPr>
            <w:tcW w:w="850" w:type="dxa"/>
            <w:noWrap/>
            <w:vAlign w:val="center"/>
          </w:tcPr>
          <w:p>
            <w:pPr>
              <w:widowControl/>
              <w:snapToGrid w:val="0"/>
              <w:jc w:val="center"/>
              <w:textAlignment w:val="center"/>
              <w:rPr>
                <w:rFonts w:ascii="宋体" w:hAnsi="宋体"/>
                <w:bCs/>
                <w:szCs w:val="21"/>
              </w:rPr>
            </w:pPr>
            <w:r>
              <w:rPr>
                <w:rFonts w:hint="eastAsia" w:ascii="宋体" w:hAnsi="宋体"/>
                <w:bCs/>
                <w:szCs w:val="21"/>
              </w:rPr>
              <w:t>7.2</w:t>
            </w:r>
          </w:p>
        </w:tc>
        <w:tc>
          <w:tcPr>
            <w:tcW w:w="2125" w:type="dxa"/>
            <w:vMerge w:val="restart"/>
            <w:tcBorders>
              <w:right w:val="single" w:color="auto" w:sz="4" w:space="0"/>
            </w:tcBorders>
            <w:noWrap/>
            <w:vAlign w:val="center"/>
          </w:tcPr>
          <w:p>
            <w:pPr>
              <w:widowControl/>
              <w:snapToGrid w:val="0"/>
              <w:jc w:val="center"/>
              <w:textAlignment w:val="center"/>
              <w:rPr>
                <w:rFonts w:ascii="宋体" w:hAnsi="宋体"/>
                <w:bCs/>
                <w:szCs w:val="21"/>
              </w:rPr>
            </w:pPr>
            <w:r>
              <w:rPr>
                <w:rFonts w:hint="eastAsia" w:ascii="宋体" w:hAnsi="宋体"/>
                <w:bCs/>
                <w:szCs w:val="21"/>
              </w:rPr>
              <w:t>不进行整机喷漆，仅局部加工面手工补漆，以年产10万台计算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left w:val="single" w:color="auto" w:sz="4" w:space="0"/>
            </w:tcBorders>
            <w:noWrap/>
            <w:vAlign w:val="center"/>
          </w:tcPr>
          <w:p>
            <w:pPr>
              <w:pStyle w:val="19"/>
              <w:spacing w:line="240" w:lineRule="auto"/>
              <w:jc w:val="center"/>
              <w:rPr>
                <w:rFonts w:ascii="宋体" w:hAnsi="宋体"/>
                <w:bCs/>
                <w:szCs w:val="21"/>
              </w:rPr>
            </w:pPr>
          </w:p>
        </w:tc>
        <w:tc>
          <w:tcPr>
            <w:tcW w:w="977" w:type="dxa"/>
            <w:vMerge w:val="continue"/>
            <w:noWrap/>
            <w:vAlign w:val="center"/>
          </w:tcPr>
          <w:p>
            <w:pPr>
              <w:widowControl/>
              <w:snapToGrid w:val="0"/>
              <w:jc w:val="center"/>
              <w:textAlignment w:val="center"/>
              <w:rPr>
                <w:rFonts w:ascii="宋体" w:hAnsi="宋体"/>
                <w:bCs/>
                <w:szCs w:val="21"/>
              </w:rPr>
            </w:pPr>
          </w:p>
        </w:tc>
        <w:tc>
          <w:tcPr>
            <w:tcW w:w="1512" w:type="dxa"/>
            <w:noWrap/>
            <w:vAlign w:val="center"/>
          </w:tcPr>
          <w:p>
            <w:pPr>
              <w:widowControl/>
              <w:snapToGrid w:val="0"/>
              <w:jc w:val="center"/>
              <w:textAlignment w:val="center"/>
              <w:rPr>
                <w:rFonts w:ascii="宋体" w:hAnsi="宋体"/>
                <w:bCs/>
                <w:szCs w:val="21"/>
              </w:rPr>
            </w:pPr>
            <w:r>
              <w:rPr>
                <w:rFonts w:hint="eastAsia" w:ascii="宋体" w:hAnsi="宋体"/>
                <w:bCs/>
                <w:szCs w:val="21"/>
              </w:rPr>
              <w:t>高温漆</w:t>
            </w:r>
          </w:p>
        </w:tc>
        <w:tc>
          <w:tcPr>
            <w:tcW w:w="2551" w:type="dxa"/>
            <w:noWrap/>
            <w:vAlign w:val="center"/>
          </w:tcPr>
          <w:p>
            <w:pPr>
              <w:widowControl/>
              <w:snapToGrid w:val="0"/>
              <w:jc w:val="center"/>
              <w:textAlignment w:val="center"/>
              <w:rPr>
                <w:sz w:val="24"/>
              </w:rPr>
            </w:pPr>
            <w:r>
              <w:rPr>
                <w:rFonts w:hint="eastAsia"/>
                <w:sz w:val="24"/>
              </w:rPr>
              <w:t>XH53-18</w:t>
            </w:r>
          </w:p>
        </w:tc>
        <w:tc>
          <w:tcPr>
            <w:tcW w:w="709" w:type="dxa"/>
            <w:noWrap/>
            <w:vAlign w:val="center"/>
          </w:tcPr>
          <w:p>
            <w:pPr>
              <w:widowControl/>
              <w:snapToGrid w:val="0"/>
              <w:jc w:val="center"/>
              <w:textAlignment w:val="center"/>
              <w:rPr>
                <w:rFonts w:ascii="宋体" w:hAnsi="宋体"/>
                <w:szCs w:val="21"/>
              </w:rPr>
            </w:pPr>
            <w:r>
              <w:rPr>
                <w:rFonts w:hint="eastAsia" w:ascii="宋体" w:hAnsi="宋体"/>
                <w:szCs w:val="21"/>
              </w:rPr>
              <w:t>吨</w:t>
            </w:r>
          </w:p>
        </w:tc>
        <w:tc>
          <w:tcPr>
            <w:tcW w:w="850" w:type="dxa"/>
            <w:noWrap/>
            <w:vAlign w:val="center"/>
          </w:tcPr>
          <w:p>
            <w:pPr>
              <w:widowControl/>
              <w:snapToGrid w:val="0"/>
              <w:jc w:val="center"/>
              <w:textAlignment w:val="center"/>
              <w:rPr>
                <w:rFonts w:ascii="宋体" w:hAnsi="宋体"/>
                <w:bCs/>
                <w:szCs w:val="21"/>
              </w:rPr>
            </w:pPr>
            <w:r>
              <w:rPr>
                <w:rFonts w:hint="eastAsia" w:ascii="宋体" w:hAnsi="宋体"/>
                <w:bCs/>
                <w:szCs w:val="21"/>
              </w:rPr>
              <w:t>0.7</w:t>
            </w:r>
          </w:p>
        </w:tc>
        <w:tc>
          <w:tcPr>
            <w:tcW w:w="2125" w:type="dxa"/>
            <w:vMerge w:val="continue"/>
            <w:tcBorders>
              <w:right w:val="single" w:color="auto" w:sz="4" w:space="0"/>
            </w:tcBorders>
            <w:noWrap/>
            <w:vAlign w:val="center"/>
          </w:tcPr>
          <w:p>
            <w:pPr>
              <w:widowControl/>
              <w:snapToGrid w:val="0"/>
              <w:jc w:val="center"/>
              <w:textAlignment w:val="center"/>
              <w:rPr>
                <w:rFonts w:ascii="宋体" w:hAnsi="宋体"/>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left w:val="single" w:color="auto" w:sz="4" w:space="0"/>
            </w:tcBorders>
            <w:noWrap/>
            <w:vAlign w:val="center"/>
          </w:tcPr>
          <w:p>
            <w:pPr>
              <w:pStyle w:val="19"/>
              <w:spacing w:line="240" w:lineRule="auto"/>
              <w:jc w:val="center"/>
              <w:rPr>
                <w:rFonts w:ascii="宋体" w:hAnsi="宋体"/>
                <w:bCs/>
                <w:szCs w:val="21"/>
              </w:rPr>
            </w:pPr>
          </w:p>
        </w:tc>
        <w:tc>
          <w:tcPr>
            <w:tcW w:w="977" w:type="dxa"/>
            <w:vMerge w:val="continue"/>
            <w:noWrap/>
            <w:vAlign w:val="center"/>
          </w:tcPr>
          <w:p>
            <w:pPr>
              <w:widowControl/>
              <w:snapToGrid w:val="0"/>
              <w:jc w:val="center"/>
              <w:textAlignment w:val="center"/>
              <w:rPr>
                <w:rFonts w:ascii="宋体" w:hAnsi="宋体"/>
                <w:bCs/>
                <w:szCs w:val="21"/>
              </w:rPr>
            </w:pPr>
          </w:p>
        </w:tc>
        <w:tc>
          <w:tcPr>
            <w:tcW w:w="1512" w:type="dxa"/>
            <w:noWrap/>
            <w:vAlign w:val="center"/>
          </w:tcPr>
          <w:p>
            <w:pPr>
              <w:widowControl/>
              <w:snapToGrid w:val="0"/>
              <w:jc w:val="center"/>
              <w:textAlignment w:val="center"/>
              <w:rPr>
                <w:rFonts w:ascii="宋体" w:hAnsi="宋体"/>
                <w:bCs/>
                <w:szCs w:val="21"/>
              </w:rPr>
            </w:pPr>
            <w:r>
              <w:rPr>
                <w:rFonts w:hint="eastAsia" w:ascii="宋体" w:hAnsi="宋体"/>
                <w:bCs/>
                <w:szCs w:val="21"/>
              </w:rPr>
              <w:t>银粉漆</w:t>
            </w:r>
          </w:p>
        </w:tc>
        <w:tc>
          <w:tcPr>
            <w:tcW w:w="2551" w:type="dxa"/>
            <w:noWrap/>
            <w:vAlign w:val="center"/>
          </w:tcPr>
          <w:p>
            <w:pPr>
              <w:widowControl/>
              <w:snapToGrid w:val="0"/>
              <w:jc w:val="center"/>
              <w:textAlignment w:val="center"/>
              <w:rPr>
                <w:sz w:val="24"/>
              </w:rPr>
            </w:pPr>
            <w:r>
              <w:rPr>
                <w:rFonts w:hint="eastAsia"/>
                <w:sz w:val="24"/>
              </w:rPr>
              <w:t>XH53-13</w:t>
            </w:r>
          </w:p>
        </w:tc>
        <w:tc>
          <w:tcPr>
            <w:tcW w:w="709" w:type="dxa"/>
            <w:noWrap/>
            <w:vAlign w:val="center"/>
          </w:tcPr>
          <w:p>
            <w:pPr>
              <w:widowControl/>
              <w:snapToGrid w:val="0"/>
              <w:jc w:val="center"/>
              <w:textAlignment w:val="center"/>
              <w:rPr>
                <w:rFonts w:ascii="宋体" w:hAnsi="宋体"/>
                <w:szCs w:val="21"/>
              </w:rPr>
            </w:pPr>
            <w:r>
              <w:rPr>
                <w:rFonts w:hint="eastAsia" w:ascii="宋体" w:hAnsi="宋体"/>
                <w:szCs w:val="21"/>
              </w:rPr>
              <w:t>吨</w:t>
            </w:r>
          </w:p>
        </w:tc>
        <w:tc>
          <w:tcPr>
            <w:tcW w:w="850" w:type="dxa"/>
            <w:noWrap/>
            <w:vAlign w:val="center"/>
          </w:tcPr>
          <w:p>
            <w:pPr>
              <w:widowControl/>
              <w:snapToGrid w:val="0"/>
              <w:jc w:val="center"/>
              <w:textAlignment w:val="center"/>
              <w:rPr>
                <w:rFonts w:ascii="宋体" w:hAnsi="宋体"/>
                <w:bCs/>
                <w:szCs w:val="21"/>
              </w:rPr>
            </w:pPr>
            <w:r>
              <w:rPr>
                <w:rFonts w:hint="eastAsia" w:ascii="宋体" w:hAnsi="宋体"/>
                <w:bCs/>
                <w:szCs w:val="21"/>
              </w:rPr>
              <w:t>0.2</w:t>
            </w:r>
          </w:p>
        </w:tc>
        <w:tc>
          <w:tcPr>
            <w:tcW w:w="2125" w:type="dxa"/>
            <w:vMerge w:val="continue"/>
            <w:tcBorders>
              <w:right w:val="single" w:color="auto" w:sz="4" w:space="0"/>
            </w:tcBorders>
            <w:noWrap/>
            <w:vAlign w:val="center"/>
          </w:tcPr>
          <w:p>
            <w:pPr>
              <w:widowControl/>
              <w:snapToGrid w:val="0"/>
              <w:jc w:val="center"/>
              <w:textAlignment w:val="center"/>
              <w:rPr>
                <w:rFonts w:ascii="宋体" w:hAnsi="宋体"/>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left w:val="single" w:color="auto" w:sz="4" w:space="0"/>
            </w:tcBorders>
            <w:noWrap/>
            <w:vAlign w:val="center"/>
          </w:tcPr>
          <w:p>
            <w:pPr>
              <w:pStyle w:val="19"/>
              <w:spacing w:line="240" w:lineRule="auto"/>
              <w:jc w:val="center"/>
              <w:rPr>
                <w:rFonts w:ascii="宋体" w:hAnsi="宋体"/>
                <w:bCs/>
                <w:szCs w:val="21"/>
              </w:rPr>
            </w:pPr>
          </w:p>
        </w:tc>
        <w:tc>
          <w:tcPr>
            <w:tcW w:w="977" w:type="dxa"/>
            <w:vMerge w:val="continue"/>
            <w:noWrap/>
            <w:vAlign w:val="center"/>
          </w:tcPr>
          <w:p>
            <w:pPr>
              <w:widowControl/>
              <w:snapToGrid w:val="0"/>
              <w:jc w:val="center"/>
              <w:textAlignment w:val="center"/>
              <w:rPr>
                <w:rFonts w:ascii="宋体" w:hAnsi="宋体"/>
                <w:bCs/>
                <w:szCs w:val="21"/>
              </w:rPr>
            </w:pPr>
          </w:p>
        </w:tc>
        <w:tc>
          <w:tcPr>
            <w:tcW w:w="1512" w:type="dxa"/>
            <w:noWrap/>
            <w:vAlign w:val="center"/>
          </w:tcPr>
          <w:p>
            <w:pPr>
              <w:widowControl/>
              <w:snapToGrid w:val="0"/>
              <w:jc w:val="center"/>
              <w:textAlignment w:val="center"/>
              <w:rPr>
                <w:rFonts w:ascii="宋体" w:hAnsi="宋体"/>
                <w:bCs/>
                <w:szCs w:val="21"/>
              </w:rPr>
            </w:pPr>
            <w:r>
              <w:rPr>
                <w:rFonts w:hint="eastAsia" w:ascii="宋体" w:hAnsi="宋体"/>
                <w:bCs/>
                <w:szCs w:val="21"/>
              </w:rPr>
              <w:t>配套稀释剂</w:t>
            </w:r>
          </w:p>
        </w:tc>
        <w:tc>
          <w:tcPr>
            <w:tcW w:w="2551" w:type="dxa"/>
            <w:noWrap/>
            <w:vAlign w:val="center"/>
          </w:tcPr>
          <w:p>
            <w:pPr>
              <w:widowControl/>
              <w:snapToGrid w:val="0"/>
              <w:jc w:val="center"/>
              <w:textAlignment w:val="center"/>
              <w:rPr>
                <w:sz w:val="24"/>
              </w:rPr>
            </w:pPr>
            <w:r>
              <w:rPr>
                <w:rFonts w:hint="eastAsia"/>
                <w:sz w:val="24"/>
              </w:rPr>
              <w:t>BH53-78</w:t>
            </w:r>
          </w:p>
        </w:tc>
        <w:tc>
          <w:tcPr>
            <w:tcW w:w="709" w:type="dxa"/>
            <w:noWrap/>
            <w:vAlign w:val="center"/>
          </w:tcPr>
          <w:p>
            <w:pPr>
              <w:widowControl/>
              <w:snapToGrid w:val="0"/>
              <w:jc w:val="center"/>
              <w:textAlignment w:val="center"/>
              <w:rPr>
                <w:rFonts w:ascii="宋体" w:hAnsi="宋体"/>
                <w:szCs w:val="21"/>
              </w:rPr>
            </w:pPr>
            <w:r>
              <w:rPr>
                <w:rFonts w:hint="eastAsia" w:ascii="宋体" w:hAnsi="宋体"/>
                <w:szCs w:val="21"/>
              </w:rPr>
              <w:t>吨</w:t>
            </w:r>
          </w:p>
        </w:tc>
        <w:tc>
          <w:tcPr>
            <w:tcW w:w="850" w:type="dxa"/>
            <w:noWrap/>
            <w:vAlign w:val="center"/>
          </w:tcPr>
          <w:p>
            <w:pPr>
              <w:widowControl/>
              <w:snapToGrid w:val="0"/>
              <w:jc w:val="center"/>
              <w:textAlignment w:val="center"/>
              <w:rPr>
                <w:rFonts w:ascii="宋体" w:hAnsi="宋体"/>
                <w:bCs/>
                <w:szCs w:val="21"/>
              </w:rPr>
            </w:pPr>
            <w:r>
              <w:rPr>
                <w:rFonts w:hint="eastAsia" w:ascii="宋体" w:hAnsi="宋体"/>
                <w:bCs/>
                <w:szCs w:val="21"/>
              </w:rPr>
              <w:t>1.8</w:t>
            </w:r>
          </w:p>
        </w:tc>
        <w:tc>
          <w:tcPr>
            <w:tcW w:w="2125" w:type="dxa"/>
            <w:vMerge w:val="continue"/>
            <w:tcBorders>
              <w:right w:val="single" w:color="auto" w:sz="4" w:space="0"/>
            </w:tcBorders>
            <w:noWrap/>
            <w:vAlign w:val="center"/>
          </w:tcPr>
          <w:p>
            <w:pPr>
              <w:widowControl/>
              <w:snapToGrid w:val="0"/>
              <w:jc w:val="center"/>
              <w:textAlignment w:val="center"/>
              <w:rPr>
                <w:rFonts w:ascii="宋体" w:hAnsi="宋体"/>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left w:val="single" w:color="auto" w:sz="4" w:space="0"/>
            </w:tcBorders>
            <w:noWrap/>
            <w:vAlign w:val="center"/>
          </w:tcPr>
          <w:p>
            <w:pPr>
              <w:pStyle w:val="19"/>
              <w:spacing w:line="240" w:lineRule="auto"/>
              <w:jc w:val="center"/>
              <w:rPr>
                <w:rFonts w:ascii="宋体" w:hAnsi="宋体"/>
                <w:bCs/>
                <w:szCs w:val="21"/>
              </w:rPr>
            </w:pPr>
          </w:p>
        </w:tc>
        <w:tc>
          <w:tcPr>
            <w:tcW w:w="977" w:type="dxa"/>
            <w:vMerge w:val="continue"/>
            <w:noWrap/>
            <w:vAlign w:val="center"/>
          </w:tcPr>
          <w:p>
            <w:pPr>
              <w:widowControl/>
              <w:snapToGrid w:val="0"/>
              <w:jc w:val="center"/>
              <w:textAlignment w:val="center"/>
              <w:rPr>
                <w:rFonts w:ascii="宋体" w:hAnsi="宋体"/>
                <w:bCs/>
                <w:szCs w:val="21"/>
              </w:rPr>
            </w:pPr>
          </w:p>
        </w:tc>
        <w:tc>
          <w:tcPr>
            <w:tcW w:w="1512" w:type="dxa"/>
            <w:noWrap/>
            <w:vAlign w:val="center"/>
          </w:tcPr>
          <w:p>
            <w:pPr>
              <w:widowControl/>
              <w:snapToGrid w:val="0"/>
              <w:jc w:val="center"/>
              <w:textAlignment w:val="center"/>
              <w:rPr>
                <w:rFonts w:ascii="宋体" w:hAnsi="宋体"/>
                <w:bCs/>
                <w:szCs w:val="21"/>
              </w:rPr>
            </w:pPr>
            <w:r>
              <w:rPr>
                <w:rFonts w:hint="eastAsia" w:ascii="宋体" w:hAnsi="宋体"/>
                <w:bCs/>
                <w:szCs w:val="21"/>
              </w:rPr>
              <w:t>外观清理及喷枪清洗用稀释剂</w:t>
            </w:r>
          </w:p>
        </w:tc>
        <w:tc>
          <w:tcPr>
            <w:tcW w:w="2551" w:type="dxa"/>
            <w:noWrap/>
            <w:vAlign w:val="center"/>
          </w:tcPr>
          <w:p>
            <w:pPr>
              <w:widowControl/>
              <w:snapToGrid w:val="0"/>
              <w:jc w:val="center"/>
              <w:textAlignment w:val="center"/>
              <w:rPr>
                <w:sz w:val="24"/>
              </w:rPr>
            </w:pPr>
            <w:r>
              <w:rPr>
                <w:rFonts w:hint="eastAsia"/>
                <w:sz w:val="24"/>
              </w:rPr>
              <w:t>BH53-78</w:t>
            </w:r>
          </w:p>
        </w:tc>
        <w:tc>
          <w:tcPr>
            <w:tcW w:w="709" w:type="dxa"/>
            <w:noWrap/>
            <w:vAlign w:val="center"/>
          </w:tcPr>
          <w:p>
            <w:pPr>
              <w:widowControl/>
              <w:snapToGrid w:val="0"/>
              <w:jc w:val="center"/>
              <w:textAlignment w:val="center"/>
              <w:rPr>
                <w:rFonts w:ascii="宋体" w:hAnsi="宋体"/>
                <w:szCs w:val="21"/>
              </w:rPr>
            </w:pPr>
            <w:r>
              <w:rPr>
                <w:rFonts w:hint="eastAsia" w:ascii="宋体" w:hAnsi="宋体"/>
                <w:szCs w:val="21"/>
              </w:rPr>
              <w:t>吨</w:t>
            </w:r>
          </w:p>
        </w:tc>
        <w:tc>
          <w:tcPr>
            <w:tcW w:w="850" w:type="dxa"/>
            <w:noWrap/>
            <w:vAlign w:val="center"/>
          </w:tcPr>
          <w:p>
            <w:pPr>
              <w:widowControl/>
              <w:snapToGrid w:val="0"/>
              <w:jc w:val="center"/>
              <w:textAlignment w:val="center"/>
              <w:rPr>
                <w:rFonts w:ascii="宋体" w:hAnsi="宋体"/>
                <w:bCs/>
                <w:szCs w:val="21"/>
              </w:rPr>
            </w:pPr>
            <w:r>
              <w:rPr>
                <w:rFonts w:hint="eastAsia" w:ascii="宋体" w:hAnsi="宋体"/>
                <w:bCs/>
                <w:szCs w:val="21"/>
              </w:rPr>
              <w:t>0.5</w:t>
            </w:r>
          </w:p>
        </w:tc>
        <w:tc>
          <w:tcPr>
            <w:tcW w:w="2125" w:type="dxa"/>
            <w:vMerge w:val="continue"/>
            <w:tcBorders>
              <w:right w:val="single" w:color="auto" w:sz="4" w:space="0"/>
            </w:tcBorders>
            <w:noWrap/>
            <w:vAlign w:val="center"/>
          </w:tcPr>
          <w:p>
            <w:pPr>
              <w:widowControl/>
              <w:snapToGrid w:val="0"/>
              <w:jc w:val="center"/>
              <w:textAlignment w:val="center"/>
              <w:rPr>
                <w:rFonts w:ascii="宋体" w:hAnsi="宋体"/>
                <w:bCs/>
                <w:szCs w:val="21"/>
              </w:rPr>
            </w:pPr>
          </w:p>
        </w:tc>
      </w:tr>
    </w:tbl>
    <w:p>
      <w:pPr>
        <w:snapToGrid w:val="0"/>
        <w:spacing w:line="360" w:lineRule="auto"/>
        <w:ind w:firstLine="482"/>
        <w:rPr>
          <w:rFonts w:ascii="宋体" w:hAnsi="宋体" w:cs="宋体"/>
          <w:sz w:val="28"/>
          <w:szCs w:val="28"/>
        </w:rPr>
      </w:pPr>
      <w:bookmarkStart w:id="202" w:name="_Toc24005"/>
      <w:bookmarkStart w:id="203" w:name="_Toc516400699"/>
      <w:r>
        <w:rPr>
          <w:rFonts w:hint="eastAsia" w:ascii="宋体" w:hAnsi="宋体" w:cs="宋体"/>
          <w:sz w:val="28"/>
          <w:szCs w:val="28"/>
        </w:rPr>
        <w:t>3.主要配套件</w:t>
      </w:r>
    </w:p>
    <w:p>
      <w:pPr>
        <w:snapToGrid w:val="0"/>
        <w:spacing w:line="360" w:lineRule="auto"/>
        <w:ind w:firstLine="482"/>
        <w:rPr>
          <w:rFonts w:ascii="宋体" w:hAnsi="宋体" w:cs="宋体"/>
          <w:sz w:val="28"/>
          <w:szCs w:val="28"/>
        </w:rPr>
      </w:pPr>
      <w:r>
        <w:rPr>
          <w:rFonts w:hint="eastAsia" w:ascii="宋体" w:hAnsi="宋体" w:cs="宋体"/>
          <w:sz w:val="28"/>
          <w:szCs w:val="28"/>
        </w:rPr>
        <w:t>项目主要配套件有曲轴、火花塞、水泵等机电产品。建设单位现已与主要配套件厂家建立了战略合作关系，供应稳定，完全能够满足项目产品的生产需要。</w:t>
      </w:r>
    </w:p>
    <w:p>
      <w:pPr>
        <w:pStyle w:val="5"/>
        <w:keepNext w:val="0"/>
        <w:keepLines w:val="0"/>
        <w:snapToGrid w:val="0"/>
        <w:spacing w:before="0" w:after="0" w:line="360" w:lineRule="auto"/>
        <w:jc w:val="left"/>
        <w:rPr>
          <w:rFonts w:ascii="宋体" w:hAnsi="宋体" w:cs="宋体"/>
          <w:sz w:val="28"/>
          <w:szCs w:val="28"/>
        </w:rPr>
      </w:pPr>
      <w:bookmarkStart w:id="204" w:name="_Toc16458"/>
      <w:r>
        <w:rPr>
          <w:rFonts w:hint="eastAsia" w:ascii="宋体" w:hAnsi="宋体" w:cs="宋体"/>
          <w:sz w:val="28"/>
          <w:szCs w:val="28"/>
        </w:rPr>
        <w:t>2.6.2产品、产量</w:t>
      </w:r>
      <w:bookmarkEnd w:id="202"/>
      <w:bookmarkEnd w:id="203"/>
      <w:bookmarkEnd w:id="204"/>
    </w:p>
    <w:p>
      <w:pPr>
        <w:snapToGrid w:val="0"/>
        <w:spacing w:line="360" w:lineRule="auto"/>
        <w:ind w:firstLine="482"/>
        <w:rPr>
          <w:rFonts w:ascii="宋体" w:hAnsi="宋体" w:cs="宋体"/>
          <w:sz w:val="28"/>
          <w:szCs w:val="28"/>
        </w:rPr>
      </w:pPr>
      <w:bookmarkStart w:id="205" w:name="_Toc27422"/>
      <w:r>
        <w:rPr>
          <w:rFonts w:hint="eastAsia" w:ascii="宋体" w:hAnsi="宋体" w:cs="宋体"/>
          <w:sz w:val="28"/>
          <w:szCs w:val="28"/>
          <w:lang w:val="en-GB"/>
        </w:rPr>
        <w:t>G系列节能环保轻型商用车汽油机产品年产10万台。</w:t>
      </w:r>
    </w:p>
    <w:p>
      <w:pPr>
        <w:pStyle w:val="4"/>
        <w:keepNext w:val="0"/>
        <w:keepLines w:val="0"/>
        <w:snapToGrid w:val="0"/>
        <w:spacing w:before="0" w:after="0" w:line="360" w:lineRule="auto"/>
        <w:jc w:val="left"/>
        <w:rPr>
          <w:rFonts w:ascii="宋体" w:hAnsi="宋体" w:cs="宋体"/>
          <w:snapToGrid/>
          <w:kern w:val="2"/>
        </w:rPr>
      </w:pPr>
      <w:bookmarkStart w:id="206" w:name="_Toc1214"/>
      <w:r>
        <w:rPr>
          <w:rFonts w:hint="eastAsia" w:ascii="宋体" w:hAnsi="宋体" w:cs="宋体"/>
          <w:snapToGrid/>
          <w:kern w:val="2"/>
        </w:rPr>
        <w:t>2.7</w:t>
      </w:r>
      <w:r>
        <w:rPr>
          <w:rFonts w:hint="eastAsia" w:ascii="宋体" w:hAnsi="宋体" w:cs="宋体"/>
          <w:snapToGrid/>
          <w:kern w:val="2"/>
          <w:lang w:val="en-US" w:eastAsia="zh-CN"/>
        </w:rPr>
        <w:t xml:space="preserve"> </w:t>
      </w:r>
      <w:r>
        <w:rPr>
          <w:rFonts w:hint="eastAsia" w:ascii="宋体" w:hAnsi="宋体" w:cs="宋体"/>
          <w:snapToGrid/>
          <w:kern w:val="2"/>
        </w:rPr>
        <w:t>生产工艺</w:t>
      </w:r>
      <w:bookmarkEnd w:id="205"/>
      <w:bookmarkEnd w:id="206"/>
    </w:p>
    <w:p>
      <w:pPr>
        <w:pStyle w:val="5"/>
        <w:keepNext w:val="0"/>
        <w:keepLines w:val="0"/>
        <w:snapToGrid w:val="0"/>
        <w:spacing w:before="0" w:after="0" w:line="360" w:lineRule="auto"/>
        <w:jc w:val="left"/>
        <w:rPr>
          <w:rFonts w:ascii="宋体" w:hAnsi="宋体" w:cs="宋体"/>
          <w:sz w:val="28"/>
          <w:szCs w:val="28"/>
        </w:rPr>
      </w:pPr>
      <w:bookmarkStart w:id="207" w:name="_Toc24088"/>
      <w:bookmarkStart w:id="208" w:name="_Toc516400701"/>
      <w:bookmarkStart w:id="209" w:name="_Toc4839"/>
      <w:r>
        <w:rPr>
          <w:rFonts w:hint="eastAsia" w:ascii="宋体" w:hAnsi="宋体" w:cs="宋体"/>
          <w:sz w:val="28"/>
          <w:szCs w:val="28"/>
        </w:rPr>
        <w:t>2.7.1</w:t>
      </w:r>
      <w:bookmarkEnd w:id="207"/>
      <w:bookmarkEnd w:id="208"/>
      <w:r>
        <w:rPr>
          <w:rFonts w:hint="eastAsia" w:ascii="宋体" w:hAnsi="宋体" w:cs="宋体"/>
          <w:sz w:val="28"/>
          <w:szCs w:val="28"/>
        </w:rPr>
        <w:t xml:space="preserve"> 机加工生产线</w:t>
      </w:r>
      <w:bookmarkEnd w:id="209"/>
    </w:p>
    <w:p>
      <w:pPr>
        <w:snapToGrid w:val="0"/>
        <w:spacing w:line="360" w:lineRule="auto"/>
        <w:ind w:firstLine="482"/>
        <w:rPr>
          <w:rFonts w:ascii="宋体" w:hAnsi="宋体" w:cs="宋体"/>
          <w:sz w:val="28"/>
          <w:szCs w:val="28"/>
        </w:rPr>
      </w:pPr>
      <w:bookmarkStart w:id="210" w:name="_Toc10120"/>
      <w:bookmarkStart w:id="211" w:name="_Toc516400702"/>
      <w:r>
        <w:rPr>
          <w:rFonts w:hint="eastAsia" w:ascii="宋体" w:hAnsi="宋体" w:cs="宋体"/>
          <w:sz w:val="28"/>
          <w:szCs w:val="28"/>
        </w:rPr>
        <w:t>1.生产线任务</w:t>
      </w:r>
    </w:p>
    <w:p>
      <w:pPr>
        <w:snapToGrid w:val="0"/>
        <w:spacing w:line="360" w:lineRule="auto"/>
        <w:ind w:firstLine="482"/>
        <w:rPr>
          <w:rFonts w:ascii="宋体" w:hAnsi="宋体" w:cs="宋体"/>
          <w:sz w:val="28"/>
          <w:szCs w:val="28"/>
        </w:rPr>
      </w:pPr>
      <w:r>
        <w:rPr>
          <w:rFonts w:hint="eastAsia" w:ascii="宋体" w:hAnsi="宋体" w:cs="宋体"/>
          <w:sz w:val="28"/>
          <w:szCs w:val="28"/>
        </w:rPr>
        <w:t>本生产线主要承担G系列节能环保轻型商用车汽油机缸体、缸盖的加工、清洗、试漏、压装、检测等生产任务。</w:t>
      </w:r>
    </w:p>
    <w:p>
      <w:pPr>
        <w:snapToGrid w:val="0"/>
        <w:spacing w:line="360" w:lineRule="auto"/>
        <w:ind w:firstLine="482"/>
        <w:rPr>
          <w:rFonts w:ascii="宋体" w:hAnsi="宋体" w:cs="宋体"/>
          <w:sz w:val="28"/>
          <w:szCs w:val="28"/>
        </w:rPr>
      </w:pPr>
      <w:r>
        <w:rPr>
          <w:rFonts w:hint="eastAsia" w:ascii="宋体" w:hAnsi="宋体" w:cs="宋体"/>
          <w:sz w:val="28"/>
          <w:szCs w:val="28"/>
        </w:rPr>
        <w:t>2.生产纲领</w:t>
      </w:r>
    </w:p>
    <w:p>
      <w:pPr>
        <w:snapToGrid w:val="0"/>
        <w:spacing w:line="360" w:lineRule="auto"/>
        <w:ind w:firstLine="482"/>
        <w:rPr>
          <w:rFonts w:ascii="宋体" w:hAnsi="宋体" w:cs="宋体"/>
          <w:sz w:val="28"/>
          <w:szCs w:val="28"/>
        </w:rPr>
      </w:pPr>
      <w:r>
        <w:rPr>
          <w:rFonts w:hint="eastAsia" w:ascii="宋体" w:hAnsi="宋体" w:cs="宋体"/>
          <w:sz w:val="28"/>
          <w:szCs w:val="28"/>
        </w:rPr>
        <w:t>G系列节能环保轻型商用车汽油机缸体、缸盖机加工生产线规划产能为各10万件/年。本项目机加工线的加工中心按5万件/年设计（预留提升至10万件/年的设备位置），辅助设备按年产10万件设计，废品率1%计算。</w:t>
      </w:r>
    </w:p>
    <w:p>
      <w:pPr>
        <w:snapToGrid w:val="0"/>
        <w:spacing w:line="360" w:lineRule="auto"/>
        <w:ind w:firstLine="482"/>
        <w:rPr>
          <w:rFonts w:ascii="宋体" w:hAnsi="宋体" w:cs="宋体"/>
          <w:sz w:val="28"/>
          <w:szCs w:val="28"/>
        </w:rPr>
      </w:pPr>
      <w:r>
        <w:rPr>
          <w:rFonts w:hint="eastAsia" w:ascii="宋体" w:hAnsi="宋体" w:cs="宋体"/>
          <w:sz w:val="28"/>
          <w:szCs w:val="28"/>
        </w:rPr>
        <w:t>3.主要工艺说明</w:t>
      </w:r>
    </w:p>
    <w:p>
      <w:pPr>
        <w:snapToGrid w:val="0"/>
        <w:spacing w:line="360" w:lineRule="auto"/>
        <w:ind w:firstLine="482"/>
        <w:rPr>
          <w:rFonts w:ascii="宋体" w:hAnsi="宋体" w:cs="宋体"/>
          <w:sz w:val="28"/>
          <w:szCs w:val="28"/>
        </w:rPr>
      </w:pPr>
      <w:r>
        <w:rPr>
          <w:rFonts w:hint="eastAsia" w:ascii="宋体" w:hAnsi="宋体" w:cs="宋体"/>
          <w:sz w:val="28"/>
          <w:szCs w:val="28"/>
        </w:rPr>
        <w:t>（1）G系列汽油机缸体柔性生产线</w:t>
      </w:r>
    </w:p>
    <w:p>
      <w:pPr>
        <w:snapToGrid w:val="0"/>
        <w:spacing w:line="360" w:lineRule="auto"/>
        <w:ind w:firstLine="482"/>
        <w:rPr>
          <w:rFonts w:ascii="宋体" w:hAnsi="宋体" w:cs="宋体"/>
          <w:sz w:val="28"/>
          <w:szCs w:val="28"/>
        </w:rPr>
      </w:pPr>
      <w:r>
        <w:rPr>
          <w:rFonts w:ascii="宋体" w:hAnsi="宋体" w:cs="宋体"/>
          <w:sz w:val="28"/>
          <w:szCs w:val="28"/>
        </w:rPr>
        <w:t>①</w:t>
      </w:r>
      <w:r>
        <w:rPr>
          <w:rFonts w:hint="eastAsia" w:ascii="宋体" w:hAnsi="宋体" w:cs="宋体"/>
          <w:sz w:val="28"/>
          <w:szCs w:val="28"/>
        </w:rPr>
        <w:t>全线主要由高速卧式加工中心和部分专机以及辅助生产设备组成柔性加工生产线。</w:t>
      </w:r>
    </w:p>
    <w:p>
      <w:pPr>
        <w:snapToGrid w:val="0"/>
        <w:spacing w:line="360" w:lineRule="auto"/>
        <w:ind w:firstLine="482"/>
        <w:rPr>
          <w:rFonts w:ascii="宋体" w:hAnsi="宋体" w:cs="宋体"/>
          <w:sz w:val="28"/>
          <w:szCs w:val="28"/>
        </w:rPr>
      </w:pPr>
      <w:r>
        <w:rPr>
          <w:rFonts w:ascii="宋体" w:hAnsi="宋体" w:cs="宋体"/>
          <w:sz w:val="28"/>
          <w:szCs w:val="28"/>
        </w:rPr>
        <w:t>②</w:t>
      </w:r>
      <w:r>
        <w:rPr>
          <w:rFonts w:hint="eastAsia" w:ascii="宋体" w:hAnsi="宋体" w:cs="宋体"/>
          <w:sz w:val="28"/>
          <w:szCs w:val="28"/>
        </w:rPr>
        <w:t>主要工艺流程</w:t>
      </w:r>
    </w:p>
    <w:p>
      <w:pPr>
        <w:spacing w:line="500" w:lineRule="exact"/>
        <w:ind w:firstLine="482"/>
        <w:jc w:val="center"/>
        <w:rPr>
          <w:rFonts w:ascii="宋体" w:hAnsi="宋体" w:cs="宋体"/>
          <w:sz w:val="24"/>
        </w:rPr>
      </w:pPr>
      <w:r>
        <w:rPr>
          <w:rFonts w:hint="eastAsia" w:ascii="宋体" w:hAnsi="宋体" w:cs="宋体"/>
          <w:sz w:val="24"/>
        </w:rPr>
        <w:t>表2-10</w:t>
      </w:r>
      <w:r>
        <w:rPr>
          <w:rFonts w:hint="eastAsia"/>
          <w:kern w:val="0"/>
          <w:sz w:val="24"/>
        </w:rPr>
        <w:t>G系列汽油机缸体工艺过程卡</w:t>
      </w:r>
    </w:p>
    <w:tbl>
      <w:tblPr>
        <w:tblStyle w:val="52"/>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536"/>
        <w:gridCol w:w="212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trPr>
        <w:tc>
          <w:tcPr>
            <w:tcW w:w="851" w:type="dxa"/>
            <w:noWrap/>
            <w:vAlign w:val="center"/>
          </w:tcPr>
          <w:p>
            <w:pPr>
              <w:jc w:val="center"/>
              <w:rPr>
                <w:b/>
                <w:kern w:val="0"/>
                <w:szCs w:val="21"/>
              </w:rPr>
            </w:pPr>
            <w:r>
              <w:rPr>
                <w:b/>
                <w:kern w:val="0"/>
                <w:szCs w:val="21"/>
              </w:rPr>
              <w:t>工序号</w:t>
            </w:r>
          </w:p>
        </w:tc>
        <w:tc>
          <w:tcPr>
            <w:tcW w:w="4536" w:type="dxa"/>
            <w:noWrap/>
            <w:vAlign w:val="center"/>
          </w:tcPr>
          <w:p>
            <w:pPr>
              <w:pStyle w:val="153"/>
              <w:keepLines w:val="0"/>
              <w:widowControl w:val="0"/>
              <w:spacing w:before="0" w:line="440" w:lineRule="exact"/>
              <w:ind w:firstLine="0" w:firstLineChars="0"/>
              <w:jc w:val="center"/>
              <w:rPr>
                <w:rFonts w:ascii="Times New Roman" w:hAnsi="Times New Roman"/>
                <w:b/>
                <w:sz w:val="21"/>
                <w:szCs w:val="21"/>
                <w:lang w:eastAsia="zh-CN"/>
              </w:rPr>
            </w:pPr>
            <w:r>
              <w:rPr>
                <w:rFonts w:ascii="Times New Roman" w:hAnsi="Times New Roman"/>
                <w:b/>
                <w:sz w:val="21"/>
                <w:szCs w:val="21"/>
                <w:lang w:eastAsia="zh-CN"/>
              </w:rPr>
              <w:t>工艺方案</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b/>
                <w:sz w:val="21"/>
                <w:szCs w:val="21"/>
                <w:lang w:eastAsia="zh-CN"/>
              </w:rPr>
            </w:pPr>
            <w:r>
              <w:rPr>
                <w:rFonts w:ascii="Times New Roman" w:hAnsi="Times New Roman"/>
                <w:b/>
                <w:sz w:val="21"/>
                <w:szCs w:val="21"/>
                <w:lang w:eastAsia="zh-CN"/>
              </w:rPr>
              <w:t>设备类型</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b/>
                <w:sz w:val="21"/>
                <w:szCs w:val="21"/>
                <w:lang w:eastAsia="zh-CN"/>
              </w:rPr>
            </w:pPr>
            <w:r>
              <w:rPr>
                <w:rFonts w:ascii="Times New Roman" w:hAnsi="Times New Roman"/>
                <w:b/>
                <w:sz w:val="21"/>
                <w:szCs w:val="21"/>
                <w:lang w:eastAsia="zh-CN"/>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51" w:type="dxa"/>
            <w:noWrap/>
            <w:vAlign w:val="center"/>
          </w:tcPr>
          <w:p>
            <w:pPr>
              <w:jc w:val="center"/>
              <w:rPr>
                <w:b/>
                <w:kern w:val="0"/>
                <w:szCs w:val="21"/>
              </w:rPr>
            </w:pPr>
            <w:r>
              <w:rPr>
                <w:b/>
                <w:kern w:val="0"/>
                <w:szCs w:val="21"/>
              </w:rPr>
              <w:t>OP10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粗铣、半精铣前后端面，铣进气侧面搭子面，钻、铰后端面上过度工艺定位销孔等</w:t>
            </w:r>
          </w:p>
        </w:tc>
        <w:tc>
          <w:tcPr>
            <w:tcW w:w="2126" w:type="dxa"/>
            <w:noWrap/>
            <w:vAlign w:val="center"/>
          </w:tcPr>
          <w:p>
            <w:pPr>
              <w:pStyle w:val="153"/>
              <w:keepLines w:val="0"/>
              <w:widowControl w:val="0"/>
              <w:spacing w:before="0" w:line="36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卧加</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51" w:type="dxa"/>
            <w:noWrap/>
            <w:vAlign w:val="center"/>
          </w:tcPr>
          <w:p>
            <w:pPr>
              <w:jc w:val="center"/>
              <w:rPr>
                <w:b/>
                <w:kern w:val="0"/>
                <w:szCs w:val="21"/>
              </w:rPr>
            </w:pPr>
            <w:r>
              <w:rPr>
                <w:b/>
                <w:kern w:val="0"/>
                <w:szCs w:val="21"/>
              </w:rPr>
              <w:t>OP15</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毛坯人工上线，毛坯激光打码（二维码和明码）</w:t>
            </w:r>
          </w:p>
        </w:tc>
        <w:tc>
          <w:tcPr>
            <w:tcW w:w="2126" w:type="dxa"/>
            <w:noWrap/>
            <w:vAlign w:val="center"/>
          </w:tcPr>
          <w:p>
            <w:pPr>
              <w:pStyle w:val="153"/>
              <w:keepLines w:val="0"/>
              <w:widowControl w:val="0"/>
              <w:spacing w:before="0" w:line="36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激光打标机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851" w:type="dxa"/>
            <w:noWrap/>
            <w:vAlign w:val="center"/>
          </w:tcPr>
          <w:p>
            <w:pPr>
              <w:jc w:val="center"/>
              <w:rPr>
                <w:b/>
                <w:kern w:val="0"/>
                <w:szCs w:val="21"/>
              </w:rPr>
            </w:pPr>
            <w:r>
              <w:rPr>
                <w:b/>
                <w:kern w:val="0"/>
                <w:szCs w:val="21"/>
              </w:rPr>
              <w:t>OP20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粗精铣底面及止口面，钻、铰底面工艺定位销孔，钻、攻主轴承盖螺栓孔等</w:t>
            </w:r>
          </w:p>
        </w:tc>
        <w:tc>
          <w:tcPr>
            <w:tcW w:w="2126" w:type="dxa"/>
            <w:noWrap/>
            <w:vAlign w:val="center"/>
          </w:tcPr>
          <w:p>
            <w:pPr>
              <w:pStyle w:val="153"/>
              <w:keepLines w:val="0"/>
              <w:widowControl w:val="0"/>
              <w:spacing w:before="0" w:line="36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卧加</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51" w:type="dxa"/>
            <w:noWrap/>
            <w:vAlign w:val="center"/>
          </w:tcPr>
          <w:p>
            <w:pPr>
              <w:jc w:val="center"/>
              <w:rPr>
                <w:b/>
                <w:kern w:val="0"/>
                <w:szCs w:val="21"/>
              </w:rPr>
            </w:pPr>
            <w:r>
              <w:rPr>
                <w:b/>
                <w:kern w:val="0"/>
                <w:szCs w:val="21"/>
              </w:rPr>
              <w:t>OP30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粗铣顶面，粗镗缸孔，钻攻顶面缸盖螺栓孔，钻顶面、侧面斜孔等</w:t>
            </w:r>
          </w:p>
        </w:tc>
        <w:tc>
          <w:tcPr>
            <w:tcW w:w="2126" w:type="dxa"/>
            <w:noWrap/>
            <w:vAlign w:val="center"/>
          </w:tcPr>
          <w:p>
            <w:pPr>
              <w:pStyle w:val="153"/>
              <w:keepLines w:val="0"/>
              <w:widowControl w:val="0"/>
              <w:spacing w:before="0" w:line="36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卧加</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51" w:type="dxa"/>
            <w:noWrap/>
            <w:vAlign w:val="center"/>
          </w:tcPr>
          <w:p>
            <w:pPr>
              <w:jc w:val="center"/>
              <w:rPr>
                <w:b/>
                <w:kern w:val="0"/>
                <w:szCs w:val="21"/>
              </w:rPr>
            </w:pPr>
            <w:r>
              <w:rPr>
                <w:b/>
                <w:kern w:val="0"/>
                <w:szCs w:val="21"/>
              </w:rPr>
              <w:t>OP40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铣开档</w:t>
            </w:r>
          </w:p>
        </w:tc>
        <w:tc>
          <w:tcPr>
            <w:tcW w:w="2126" w:type="dxa"/>
            <w:noWrap/>
            <w:vAlign w:val="center"/>
          </w:tcPr>
          <w:p>
            <w:pPr>
              <w:pStyle w:val="153"/>
              <w:keepLines w:val="0"/>
              <w:widowControl w:val="0"/>
              <w:spacing w:before="0" w:line="36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铣开档专机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51" w:type="dxa"/>
            <w:noWrap/>
            <w:vAlign w:val="center"/>
          </w:tcPr>
          <w:p>
            <w:pPr>
              <w:jc w:val="center"/>
              <w:rPr>
                <w:b/>
                <w:kern w:val="0"/>
                <w:szCs w:val="21"/>
              </w:rPr>
            </w:pPr>
            <w:r>
              <w:rPr>
                <w:b/>
                <w:kern w:val="0"/>
                <w:szCs w:val="21"/>
              </w:rPr>
              <w:t>OP50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粗镗曲轴半圆孔，铣卡瓦槽，铣止推面，铣两端及两侧面上搭子面，钻铰/钻攻两端面及两侧面孔，扩铰缸体阀安装孔等</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卧加</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1" w:type="dxa"/>
            <w:noWrap/>
            <w:vAlign w:val="center"/>
          </w:tcPr>
          <w:p>
            <w:pPr>
              <w:jc w:val="center"/>
              <w:rPr>
                <w:b/>
                <w:kern w:val="0"/>
                <w:szCs w:val="21"/>
              </w:rPr>
            </w:pPr>
            <w:r>
              <w:rPr>
                <w:b/>
                <w:kern w:val="0"/>
                <w:szCs w:val="21"/>
              </w:rPr>
              <w:t>OP60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加工活塞冷却喷嘴孔，引钻、钻主轴承半圆孔内斜孔和底面油孔/斜油孔等</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卧加</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1" w:type="dxa"/>
            <w:noWrap/>
            <w:vAlign w:val="center"/>
          </w:tcPr>
          <w:p>
            <w:pPr>
              <w:jc w:val="center"/>
              <w:rPr>
                <w:b/>
                <w:kern w:val="0"/>
                <w:szCs w:val="21"/>
              </w:rPr>
            </w:pPr>
            <w:r>
              <w:rPr>
                <w:b/>
                <w:kern w:val="0"/>
                <w:szCs w:val="21"/>
              </w:rPr>
              <w:t>OP70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机器人自动修毛刺</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机器人系统</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51" w:type="dxa"/>
            <w:noWrap/>
            <w:vAlign w:val="center"/>
          </w:tcPr>
          <w:p>
            <w:pPr>
              <w:jc w:val="center"/>
              <w:rPr>
                <w:b/>
                <w:kern w:val="0"/>
                <w:szCs w:val="21"/>
              </w:rPr>
            </w:pPr>
            <w:r>
              <w:rPr>
                <w:b/>
                <w:kern w:val="0"/>
                <w:szCs w:val="21"/>
              </w:rPr>
              <w:t>OP80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中间清洗</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清洗机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51" w:type="dxa"/>
            <w:noWrap/>
            <w:vAlign w:val="center"/>
          </w:tcPr>
          <w:p>
            <w:pPr>
              <w:jc w:val="center"/>
              <w:rPr>
                <w:b/>
                <w:kern w:val="0"/>
                <w:szCs w:val="21"/>
              </w:rPr>
            </w:pPr>
            <w:r>
              <w:rPr>
                <w:b/>
                <w:kern w:val="0"/>
                <w:szCs w:val="21"/>
              </w:rPr>
              <w:t>OP90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中间试漏</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试漏机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51" w:type="dxa"/>
            <w:noWrap/>
            <w:vAlign w:val="center"/>
          </w:tcPr>
          <w:p>
            <w:pPr>
              <w:jc w:val="center"/>
              <w:rPr>
                <w:b/>
                <w:kern w:val="0"/>
                <w:szCs w:val="21"/>
              </w:rPr>
            </w:pPr>
            <w:r>
              <w:rPr>
                <w:b/>
                <w:kern w:val="0"/>
                <w:szCs w:val="21"/>
              </w:rPr>
              <w:t>OP100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人工装主轴承盖及螺栓，自动拧紧、打印主轴承盖编号</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人工+自动拧紧机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51" w:type="dxa"/>
            <w:noWrap/>
            <w:vAlign w:val="center"/>
          </w:tcPr>
          <w:p>
            <w:pPr>
              <w:jc w:val="center"/>
              <w:rPr>
                <w:b/>
                <w:kern w:val="0"/>
                <w:szCs w:val="21"/>
              </w:rPr>
            </w:pPr>
            <w:r>
              <w:rPr>
                <w:b/>
                <w:kern w:val="0"/>
                <w:szCs w:val="21"/>
              </w:rPr>
              <w:t>OP110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安装模拟缸盖及拧紧螺栓</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人工+自动拧紧机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1" w:type="dxa"/>
            <w:noWrap/>
            <w:vAlign w:val="center"/>
          </w:tcPr>
          <w:p>
            <w:pPr>
              <w:jc w:val="center"/>
              <w:rPr>
                <w:b/>
                <w:kern w:val="0"/>
                <w:szCs w:val="21"/>
              </w:rPr>
            </w:pPr>
            <w:r>
              <w:rPr>
                <w:b/>
                <w:kern w:val="0"/>
                <w:szCs w:val="21"/>
              </w:rPr>
              <w:t>OP120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精镗缸孔、半精镗主轴承孔，扩铰后端面定位孔等</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卧加</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51" w:type="dxa"/>
            <w:noWrap/>
            <w:vAlign w:val="center"/>
          </w:tcPr>
          <w:p>
            <w:pPr>
              <w:jc w:val="center"/>
              <w:rPr>
                <w:b/>
                <w:kern w:val="0"/>
                <w:szCs w:val="21"/>
              </w:rPr>
            </w:pPr>
            <w:r>
              <w:rPr>
                <w:b/>
                <w:kern w:val="0"/>
                <w:szCs w:val="21"/>
              </w:rPr>
              <w:t>OP130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精镗曲轴孔</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曲轴孔精镗专机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51" w:type="dxa"/>
            <w:noWrap/>
            <w:vAlign w:val="center"/>
          </w:tcPr>
          <w:p>
            <w:pPr>
              <w:jc w:val="center"/>
              <w:rPr>
                <w:b/>
                <w:kern w:val="0"/>
                <w:szCs w:val="21"/>
              </w:rPr>
            </w:pPr>
            <w:r>
              <w:rPr>
                <w:b/>
                <w:kern w:val="0"/>
                <w:szCs w:val="21"/>
              </w:rPr>
              <w:t>OP140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珩磨前简易清洗</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清洗机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51" w:type="dxa"/>
            <w:noWrap/>
            <w:vAlign w:val="center"/>
          </w:tcPr>
          <w:p>
            <w:pPr>
              <w:jc w:val="center"/>
              <w:rPr>
                <w:b/>
                <w:kern w:val="0"/>
                <w:szCs w:val="21"/>
              </w:rPr>
            </w:pPr>
            <w:r>
              <w:rPr>
                <w:b/>
                <w:kern w:val="0"/>
                <w:szCs w:val="21"/>
              </w:rPr>
              <w:t>OP150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珩磨缸孔</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缸孔珩磨机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51" w:type="dxa"/>
            <w:noWrap/>
            <w:vAlign w:val="center"/>
          </w:tcPr>
          <w:p>
            <w:pPr>
              <w:jc w:val="center"/>
              <w:rPr>
                <w:b/>
                <w:kern w:val="0"/>
                <w:szCs w:val="21"/>
              </w:rPr>
            </w:pPr>
            <w:r>
              <w:rPr>
                <w:b/>
                <w:kern w:val="0"/>
                <w:szCs w:val="21"/>
              </w:rPr>
              <w:t>OP160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珩磨曲轴孔</w:t>
            </w:r>
          </w:p>
        </w:tc>
        <w:tc>
          <w:tcPr>
            <w:tcW w:w="2126" w:type="dxa"/>
            <w:noWrap/>
            <w:vAlign w:val="center"/>
          </w:tcPr>
          <w:p>
            <w:pPr>
              <w:pStyle w:val="153"/>
              <w:keepLines w:val="0"/>
              <w:widowControl w:val="0"/>
              <w:spacing w:before="0" w:line="36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曲轴孔珩磨机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1" w:type="dxa"/>
            <w:noWrap/>
            <w:vAlign w:val="center"/>
          </w:tcPr>
          <w:p>
            <w:pPr>
              <w:jc w:val="center"/>
              <w:rPr>
                <w:b/>
                <w:kern w:val="0"/>
                <w:szCs w:val="21"/>
              </w:rPr>
            </w:pPr>
            <w:r>
              <w:rPr>
                <w:b/>
                <w:kern w:val="0"/>
                <w:szCs w:val="21"/>
              </w:rPr>
              <w:t>OP170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拆卸模拟缸盖及螺栓</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人工+自动拆卸机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51" w:type="dxa"/>
            <w:noWrap/>
            <w:vAlign w:val="center"/>
          </w:tcPr>
          <w:p>
            <w:pPr>
              <w:jc w:val="center"/>
              <w:rPr>
                <w:b/>
                <w:kern w:val="0"/>
                <w:szCs w:val="21"/>
              </w:rPr>
            </w:pPr>
            <w:r>
              <w:rPr>
                <w:b/>
                <w:kern w:val="0"/>
                <w:szCs w:val="21"/>
              </w:rPr>
              <w:t>OP180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精铣顶面、前后端面，扩铰顶面及前端面定位孔等</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卧加</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1" w:type="dxa"/>
            <w:noWrap/>
            <w:vAlign w:val="center"/>
          </w:tcPr>
          <w:p>
            <w:pPr>
              <w:jc w:val="center"/>
              <w:rPr>
                <w:b/>
                <w:kern w:val="0"/>
                <w:szCs w:val="21"/>
              </w:rPr>
            </w:pPr>
            <w:r>
              <w:rPr>
                <w:b/>
                <w:kern w:val="0"/>
                <w:szCs w:val="21"/>
              </w:rPr>
              <w:t>OP190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机器人自动修毛刺</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机器人系统</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51" w:type="dxa"/>
            <w:noWrap/>
            <w:vAlign w:val="center"/>
          </w:tcPr>
          <w:p>
            <w:pPr>
              <w:jc w:val="center"/>
              <w:rPr>
                <w:b/>
                <w:kern w:val="0"/>
                <w:szCs w:val="21"/>
              </w:rPr>
            </w:pPr>
            <w:r>
              <w:rPr>
                <w:b/>
                <w:kern w:val="0"/>
                <w:szCs w:val="21"/>
              </w:rPr>
              <w:t>OP200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最终清洗</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清洗机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51" w:type="dxa"/>
            <w:noWrap/>
            <w:vAlign w:val="center"/>
          </w:tcPr>
          <w:p>
            <w:pPr>
              <w:jc w:val="center"/>
              <w:rPr>
                <w:b/>
                <w:kern w:val="0"/>
                <w:szCs w:val="21"/>
              </w:rPr>
            </w:pPr>
            <w:r>
              <w:rPr>
                <w:b/>
                <w:kern w:val="0"/>
                <w:szCs w:val="21"/>
              </w:rPr>
              <w:t>OP210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碗形塞施胶压堵</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碗形塞压装机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51" w:type="dxa"/>
            <w:noWrap/>
            <w:vAlign w:val="center"/>
          </w:tcPr>
          <w:p>
            <w:pPr>
              <w:jc w:val="center"/>
              <w:rPr>
                <w:b/>
                <w:kern w:val="0"/>
                <w:szCs w:val="21"/>
              </w:rPr>
            </w:pPr>
            <w:r>
              <w:rPr>
                <w:b/>
                <w:kern w:val="0"/>
                <w:szCs w:val="21"/>
              </w:rPr>
              <w:t>OP220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最终试漏</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试漏机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51" w:type="dxa"/>
            <w:noWrap/>
            <w:vAlign w:val="center"/>
          </w:tcPr>
          <w:p>
            <w:pPr>
              <w:jc w:val="center"/>
              <w:rPr>
                <w:b/>
                <w:kern w:val="0"/>
                <w:szCs w:val="21"/>
              </w:rPr>
            </w:pPr>
            <w:r>
              <w:rPr>
                <w:b/>
                <w:kern w:val="0"/>
                <w:szCs w:val="21"/>
              </w:rPr>
              <w:t>OP230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曲轴孔分组打标机</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测量打标机</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51" w:type="dxa"/>
            <w:noWrap/>
            <w:vAlign w:val="center"/>
          </w:tcPr>
          <w:p>
            <w:pPr>
              <w:jc w:val="center"/>
              <w:rPr>
                <w:b/>
                <w:kern w:val="0"/>
                <w:szCs w:val="21"/>
              </w:rPr>
            </w:pPr>
            <w:r>
              <w:rPr>
                <w:b/>
                <w:kern w:val="0"/>
                <w:szCs w:val="21"/>
              </w:rPr>
              <w:t>OP240</w:t>
            </w:r>
          </w:p>
        </w:tc>
        <w:tc>
          <w:tcPr>
            <w:tcW w:w="4536" w:type="dxa"/>
            <w:noWrap/>
            <w:vAlign w:val="center"/>
          </w:tcPr>
          <w:p>
            <w:pPr>
              <w:pStyle w:val="153"/>
              <w:keepLines w:val="0"/>
              <w:widowControl w:val="0"/>
              <w:spacing w:before="0" w:line="360" w:lineRule="exact"/>
              <w:ind w:firstLine="0" w:firstLineChars="0"/>
              <w:rPr>
                <w:rFonts w:ascii="Times New Roman" w:hAnsi="Times New Roman"/>
                <w:sz w:val="21"/>
                <w:szCs w:val="21"/>
                <w:lang w:eastAsia="zh-CN"/>
              </w:rPr>
            </w:pPr>
            <w:r>
              <w:rPr>
                <w:rFonts w:ascii="Times New Roman" w:hAnsi="Times New Roman"/>
                <w:sz w:val="21"/>
                <w:szCs w:val="21"/>
                <w:lang w:eastAsia="zh-CN"/>
              </w:rPr>
              <w:t>外观检查、入库</w:t>
            </w:r>
          </w:p>
        </w:tc>
        <w:tc>
          <w:tcPr>
            <w:tcW w:w="2126"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人工工位</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13" w:type="dxa"/>
            <w:gridSpan w:val="3"/>
            <w:noWrap/>
            <w:vAlign w:val="center"/>
          </w:tcPr>
          <w:p>
            <w:pPr>
              <w:widowControl/>
              <w:jc w:val="center"/>
              <w:rPr>
                <w:kern w:val="0"/>
                <w:szCs w:val="21"/>
              </w:rPr>
            </w:pPr>
            <w:r>
              <w:rPr>
                <w:szCs w:val="21"/>
              </w:rPr>
              <w:t>刀具</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1套/台机床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13" w:type="dxa"/>
            <w:gridSpan w:val="3"/>
            <w:noWrap/>
            <w:vAlign w:val="center"/>
          </w:tcPr>
          <w:p>
            <w:pPr>
              <w:widowControl/>
              <w:jc w:val="center"/>
              <w:rPr>
                <w:szCs w:val="21"/>
              </w:rPr>
            </w:pPr>
            <w:r>
              <w:rPr>
                <w:szCs w:val="21"/>
              </w:rPr>
              <w:t>夹具</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1套/台机床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13" w:type="dxa"/>
            <w:gridSpan w:val="3"/>
            <w:noWrap/>
            <w:vAlign w:val="center"/>
          </w:tcPr>
          <w:p>
            <w:pPr>
              <w:widowControl/>
              <w:jc w:val="center"/>
              <w:rPr>
                <w:szCs w:val="21"/>
              </w:rPr>
            </w:pPr>
            <w:r>
              <w:rPr>
                <w:szCs w:val="21"/>
              </w:rPr>
              <w:t>量检具及在线测量系统</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13" w:type="dxa"/>
            <w:gridSpan w:val="3"/>
            <w:noWrap/>
            <w:vAlign w:val="center"/>
          </w:tcPr>
          <w:p>
            <w:pPr>
              <w:widowControl/>
              <w:jc w:val="center"/>
              <w:rPr>
                <w:szCs w:val="21"/>
              </w:rPr>
            </w:pPr>
            <w:r>
              <w:rPr>
                <w:szCs w:val="21"/>
              </w:rPr>
              <w:t>整线输送系统（辅机、专机及长距离之间输送）</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13" w:type="dxa"/>
            <w:gridSpan w:val="3"/>
            <w:noWrap/>
            <w:vAlign w:val="center"/>
          </w:tcPr>
          <w:p>
            <w:pPr>
              <w:widowControl/>
              <w:jc w:val="center"/>
              <w:rPr>
                <w:szCs w:val="21"/>
              </w:rPr>
            </w:pPr>
            <w:r>
              <w:rPr>
                <w:szCs w:val="21"/>
              </w:rPr>
              <w:t>切削液集中处理系统</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13" w:type="dxa"/>
            <w:gridSpan w:val="3"/>
            <w:noWrap/>
            <w:vAlign w:val="center"/>
          </w:tcPr>
          <w:p>
            <w:pPr>
              <w:widowControl/>
              <w:jc w:val="center"/>
              <w:rPr>
                <w:szCs w:val="21"/>
              </w:rPr>
            </w:pPr>
            <w:r>
              <w:rPr>
                <w:szCs w:val="21"/>
              </w:rPr>
              <w:t>水雾处理系统</w:t>
            </w:r>
          </w:p>
        </w:tc>
        <w:tc>
          <w:tcPr>
            <w:tcW w:w="1559"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2套</w:t>
            </w:r>
          </w:p>
        </w:tc>
      </w:tr>
    </w:tbl>
    <w:p>
      <w:pPr>
        <w:snapToGrid w:val="0"/>
        <w:spacing w:line="360" w:lineRule="auto"/>
        <w:ind w:firstLine="482"/>
        <w:rPr>
          <w:rFonts w:ascii="宋体" w:hAnsi="宋体" w:cs="宋体"/>
          <w:sz w:val="28"/>
          <w:szCs w:val="28"/>
        </w:rPr>
      </w:pPr>
      <w:r>
        <w:rPr>
          <w:rFonts w:ascii="宋体" w:hAnsi="宋体" w:cs="宋体"/>
          <w:sz w:val="28"/>
          <w:szCs w:val="28"/>
        </w:rPr>
        <w:t>③</w:t>
      </w:r>
      <w:r>
        <w:rPr>
          <w:rFonts w:hint="eastAsia" w:ascii="宋体" w:hAnsi="宋体" w:cs="宋体"/>
          <w:sz w:val="28"/>
          <w:szCs w:val="28"/>
        </w:rPr>
        <w:t>加工工艺说明</w:t>
      </w:r>
    </w:p>
    <w:p>
      <w:pPr>
        <w:snapToGrid w:val="0"/>
        <w:spacing w:line="360" w:lineRule="auto"/>
        <w:ind w:firstLine="482"/>
        <w:rPr>
          <w:rFonts w:ascii="宋体" w:hAnsi="宋体" w:cs="宋体"/>
          <w:sz w:val="28"/>
          <w:szCs w:val="28"/>
        </w:rPr>
      </w:pPr>
      <w:r>
        <w:rPr>
          <w:rFonts w:hint="eastAsia" w:ascii="宋体" w:hAnsi="宋体" w:cs="宋体"/>
          <w:sz w:val="28"/>
          <w:szCs w:val="28"/>
        </w:rPr>
        <w:t>a、毛坯上线及粗加工工序采用输送辊道、人工上下料方式，精加工工序采用桁架或关节机器人自动化上下料，专机和辅机采用输送辊道自动进出料、自动加工运行，整线配置中间和完工机器人自动修毛刺系统，完工下线采用人工搬运等，设置切屑及切削液集中处理系统及水雾处理系统，物料输送采用叉车转运等。</w:t>
      </w:r>
    </w:p>
    <w:p>
      <w:pPr>
        <w:snapToGrid w:val="0"/>
        <w:spacing w:line="360" w:lineRule="auto"/>
        <w:ind w:firstLine="482"/>
        <w:rPr>
          <w:rFonts w:ascii="宋体" w:hAnsi="宋体" w:cs="宋体"/>
          <w:sz w:val="28"/>
          <w:szCs w:val="28"/>
        </w:rPr>
      </w:pPr>
      <w:r>
        <w:rPr>
          <w:rFonts w:hint="eastAsia" w:ascii="宋体" w:hAnsi="宋体" w:cs="宋体"/>
          <w:sz w:val="28"/>
          <w:szCs w:val="28"/>
        </w:rPr>
        <w:t>b、 主轴承孔加工：主轴承孔同轴度精度要求高，因此设置主轴承粗镗、半精镗在高速加工中心进行加工，精镗在曲轴孔精镗专机上加工，稳定保证主轴承孔的跳动、位置度、园柱度、表面粗糙度的要求；采用缸体主轴承孔珩磨机对主轴承孔进行珩磨，以确保精度要求。</w:t>
      </w:r>
    </w:p>
    <w:p>
      <w:pPr>
        <w:snapToGrid w:val="0"/>
        <w:spacing w:line="360" w:lineRule="auto"/>
        <w:ind w:firstLine="482"/>
        <w:rPr>
          <w:rFonts w:ascii="宋体" w:hAnsi="宋体" w:cs="宋体"/>
          <w:sz w:val="28"/>
          <w:szCs w:val="28"/>
        </w:rPr>
      </w:pPr>
      <w:r>
        <w:rPr>
          <w:rFonts w:hint="eastAsia" w:ascii="宋体" w:hAnsi="宋体" w:cs="宋体"/>
          <w:sz w:val="28"/>
          <w:szCs w:val="28"/>
        </w:rPr>
        <w:t>c、缸孔加工：缸孔粗镗、半精镗、精镗均在高速加工中心上加工，从而保证缸孔的精镗精度。采用缸体缸孔珩磨机进行珩磨工艺，以确保缸孔的表面粗糙度、园度、同轴度等精度要求，保证缸孔的表面粗糙度满足加工要求。</w:t>
      </w:r>
    </w:p>
    <w:p>
      <w:pPr>
        <w:snapToGrid w:val="0"/>
        <w:spacing w:line="360" w:lineRule="auto"/>
        <w:ind w:firstLine="482"/>
        <w:rPr>
          <w:rFonts w:ascii="宋体" w:hAnsi="宋体" w:cs="宋体"/>
          <w:sz w:val="28"/>
          <w:szCs w:val="28"/>
        </w:rPr>
      </w:pPr>
      <w:r>
        <w:rPr>
          <w:rFonts w:hint="eastAsia" w:ascii="宋体" w:hAnsi="宋体" w:cs="宋体"/>
          <w:sz w:val="28"/>
          <w:szCs w:val="28"/>
        </w:rPr>
        <w:t>d、为确保零件的清洁度，生产线采用机器人去毛刺和多次清洗工艺，确保缸体零件的清洁度达到要求。</w:t>
      </w:r>
    </w:p>
    <w:p>
      <w:pPr>
        <w:snapToGrid w:val="0"/>
        <w:spacing w:line="360" w:lineRule="auto"/>
        <w:ind w:firstLine="482"/>
        <w:rPr>
          <w:rFonts w:ascii="宋体" w:hAnsi="宋体" w:cs="宋体"/>
          <w:sz w:val="28"/>
          <w:szCs w:val="28"/>
        </w:rPr>
      </w:pPr>
      <w:r>
        <w:rPr>
          <w:rFonts w:hint="eastAsia" w:ascii="宋体" w:hAnsi="宋体" w:cs="宋体"/>
          <w:sz w:val="28"/>
          <w:szCs w:val="28"/>
        </w:rPr>
        <w:t>e、零件的检测：为及时发现加工过程中出现的各类问题，生产线上设置SPC站用于工件检测，精加工工序由机器人按检测频次自动送到抽检口，人工取出进行检测。缸体的最终检测：采用抽检方式，由三坐标测量机承担，分别对缸体各项尺寸精度和位置精度进行综合测量，以监控产品质量。</w:t>
      </w:r>
    </w:p>
    <w:p>
      <w:pPr>
        <w:snapToGrid w:val="0"/>
        <w:spacing w:line="360" w:lineRule="auto"/>
        <w:ind w:firstLine="482"/>
        <w:rPr>
          <w:rFonts w:ascii="宋体" w:hAnsi="宋体" w:cs="宋体"/>
          <w:sz w:val="28"/>
          <w:szCs w:val="28"/>
        </w:rPr>
      </w:pPr>
      <w:r>
        <w:rPr>
          <w:rFonts w:hint="eastAsia" w:ascii="宋体" w:hAnsi="宋体" w:cs="宋体"/>
          <w:sz w:val="28"/>
          <w:szCs w:val="28"/>
        </w:rPr>
        <w:t>f、生产线设备与车间MES系统集成，具备网络化、数字化集成条件，开放软件和硬件采集接口权限。在毛坯上线时进行二维码和明码打印，便于读取工件信息及追溯，加工设备接入MES系统，生产线的自动化、信息化、网络化高度融合。</w:t>
      </w:r>
    </w:p>
    <w:p>
      <w:pPr>
        <w:snapToGrid w:val="0"/>
        <w:spacing w:line="360" w:lineRule="auto"/>
        <w:ind w:firstLine="482"/>
        <w:rPr>
          <w:rFonts w:ascii="宋体" w:hAnsi="宋体" w:cs="宋体"/>
          <w:sz w:val="28"/>
          <w:szCs w:val="28"/>
        </w:rPr>
      </w:pPr>
      <w:r>
        <w:rPr>
          <w:rFonts w:hint="eastAsia" w:ascii="宋体" w:hAnsi="宋体" w:cs="宋体"/>
          <w:sz w:val="28"/>
          <w:szCs w:val="28"/>
        </w:rPr>
        <w:t>（2）G系列汽油机缸盖柔性生产线</w:t>
      </w:r>
    </w:p>
    <w:p>
      <w:pPr>
        <w:snapToGrid w:val="0"/>
        <w:spacing w:line="360" w:lineRule="auto"/>
        <w:ind w:firstLine="482"/>
        <w:rPr>
          <w:rFonts w:ascii="宋体" w:hAnsi="宋体" w:cs="宋体"/>
          <w:sz w:val="28"/>
          <w:szCs w:val="28"/>
        </w:rPr>
      </w:pPr>
      <w:r>
        <w:rPr>
          <w:rFonts w:ascii="宋体" w:hAnsi="宋体" w:cs="宋体"/>
          <w:sz w:val="28"/>
          <w:szCs w:val="28"/>
        </w:rPr>
        <w:t>①</w:t>
      </w:r>
      <w:r>
        <w:rPr>
          <w:rFonts w:hint="eastAsia" w:ascii="宋体" w:hAnsi="宋体" w:cs="宋体"/>
          <w:sz w:val="28"/>
          <w:szCs w:val="28"/>
        </w:rPr>
        <w:t>全线主要由高速卧式加工中心和部分专机以及辅助生产设备组成柔性加工生产线。</w:t>
      </w:r>
    </w:p>
    <w:p>
      <w:pPr>
        <w:snapToGrid w:val="0"/>
        <w:spacing w:line="360" w:lineRule="auto"/>
        <w:ind w:firstLine="482"/>
        <w:rPr>
          <w:rFonts w:ascii="宋体" w:hAnsi="宋体" w:cs="宋体"/>
          <w:sz w:val="28"/>
          <w:szCs w:val="28"/>
        </w:rPr>
      </w:pPr>
      <w:r>
        <w:rPr>
          <w:rFonts w:ascii="宋体" w:hAnsi="宋体" w:cs="宋体"/>
          <w:sz w:val="28"/>
          <w:szCs w:val="28"/>
        </w:rPr>
        <w:t>②</w:t>
      </w:r>
      <w:r>
        <w:rPr>
          <w:rFonts w:hint="eastAsia" w:ascii="宋体" w:hAnsi="宋体" w:cs="宋体"/>
          <w:sz w:val="28"/>
          <w:szCs w:val="28"/>
        </w:rPr>
        <w:t>主要工艺流程</w:t>
      </w:r>
    </w:p>
    <w:p>
      <w:pPr>
        <w:spacing w:line="500" w:lineRule="exact"/>
        <w:ind w:firstLine="482"/>
        <w:jc w:val="center"/>
        <w:rPr>
          <w:rFonts w:ascii="宋体" w:hAnsi="宋体" w:cs="宋体"/>
          <w:sz w:val="24"/>
        </w:rPr>
      </w:pPr>
      <w:r>
        <w:rPr>
          <w:rFonts w:hint="eastAsia" w:ascii="宋体" w:hAnsi="宋体" w:cs="宋体"/>
          <w:sz w:val="24"/>
        </w:rPr>
        <w:t>表2-11</w:t>
      </w:r>
      <w:r>
        <w:rPr>
          <w:rFonts w:hint="eastAsia"/>
          <w:kern w:val="0"/>
          <w:sz w:val="24"/>
        </w:rPr>
        <w:t>G系列汽油机缸盖工艺过程卡</w:t>
      </w:r>
    </w:p>
    <w:tbl>
      <w:tblPr>
        <w:tblStyle w:val="5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4394"/>
        <w:gridCol w:w="241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trPr>
        <w:tc>
          <w:tcPr>
            <w:tcW w:w="1135" w:type="dxa"/>
            <w:noWrap/>
            <w:vAlign w:val="center"/>
          </w:tcPr>
          <w:p>
            <w:pPr>
              <w:spacing w:line="320" w:lineRule="exact"/>
              <w:jc w:val="center"/>
              <w:rPr>
                <w:b/>
                <w:kern w:val="0"/>
                <w:szCs w:val="21"/>
              </w:rPr>
            </w:pPr>
            <w:r>
              <w:rPr>
                <w:b/>
                <w:kern w:val="0"/>
                <w:szCs w:val="21"/>
              </w:rPr>
              <w:t>工序号</w:t>
            </w:r>
          </w:p>
        </w:tc>
        <w:tc>
          <w:tcPr>
            <w:tcW w:w="4394" w:type="dxa"/>
            <w:noWrap/>
            <w:vAlign w:val="center"/>
          </w:tcPr>
          <w:p>
            <w:pPr>
              <w:spacing w:line="320" w:lineRule="exact"/>
              <w:jc w:val="center"/>
              <w:rPr>
                <w:b/>
                <w:kern w:val="0"/>
                <w:szCs w:val="21"/>
              </w:rPr>
            </w:pPr>
            <w:r>
              <w:rPr>
                <w:b/>
                <w:kern w:val="0"/>
                <w:szCs w:val="21"/>
              </w:rPr>
              <w:t>工艺方案</w:t>
            </w:r>
          </w:p>
        </w:tc>
        <w:tc>
          <w:tcPr>
            <w:tcW w:w="2410" w:type="dxa"/>
            <w:noWrap/>
            <w:vAlign w:val="center"/>
          </w:tcPr>
          <w:p>
            <w:pPr>
              <w:spacing w:line="320" w:lineRule="exact"/>
              <w:jc w:val="center"/>
              <w:rPr>
                <w:b/>
                <w:kern w:val="0"/>
                <w:szCs w:val="21"/>
              </w:rPr>
            </w:pPr>
            <w:r>
              <w:rPr>
                <w:b/>
                <w:kern w:val="0"/>
                <w:szCs w:val="21"/>
              </w:rPr>
              <w:t>设备类型</w:t>
            </w:r>
          </w:p>
        </w:tc>
        <w:tc>
          <w:tcPr>
            <w:tcW w:w="1417" w:type="dxa"/>
            <w:noWrap/>
            <w:vAlign w:val="center"/>
          </w:tcPr>
          <w:p>
            <w:pPr>
              <w:spacing w:line="320" w:lineRule="exact"/>
              <w:jc w:val="center"/>
              <w:rPr>
                <w:b/>
                <w:kern w:val="0"/>
                <w:szCs w:val="21"/>
              </w:rPr>
            </w:pPr>
            <w:r>
              <w:rPr>
                <w:b/>
                <w:kern w:val="0"/>
                <w:szCs w:val="21"/>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35" w:type="dxa"/>
            <w:noWrap/>
            <w:vAlign w:val="center"/>
          </w:tcPr>
          <w:p>
            <w:pPr>
              <w:spacing w:line="320" w:lineRule="exact"/>
              <w:jc w:val="center"/>
              <w:rPr>
                <w:b/>
                <w:kern w:val="0"/>
                <w:szCs w:val="21"/>
              </w:rPr>
            </w:pPr>
            <w:r>
              <w:rPr>
                <w:b/>
                <w:kern w:val="0"/>
                <w:szCs w:val="21"/>
              </w:rPr>
              <w:t>OP05</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缸盖上线打标（二维码和明码）</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激光打标机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35" w:type="dxa"/>
            <w:noWrap/>
            <w:vAlign w:val="center"/>
          </w:tcPr>
          <w:p>
            <w:pPr>
              <w:spacing w:line="320" w:lineRule="exact"/>
              <w:jc w:val="center"/>
              <w:rPr>
                <w:b/>
                <w:kern w:val="0"/>
                <w:szCs w:val="21"/>
              </w:rPr>
            </w:pPr>
            <w:r>
              <w:rPr>
                <w:b/>
                <w:kern w:val="0"/>
                <w:szCs w:val="21"/>
              </w:rPr>
              <w:t>OP10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加工顶面、前后端面、顶面各搭子面及顶面、前后端面部分孔系，钻、扩、铰顶面工艺定位孔等</w:t>
            </w:r>
          </w:p>
        </w:tc>
        <w:tc>
          <w:tcPr>
            <w:tcW w:w="2410"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A、B轴卧加（单主轴）</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35" w:type="dxa"/>
            <w:noWrap/>
            <w:vAlign w:val="center"/>
          </w:tcPr>
          <w:p>
            <w:pPr>
              <w:spacing w:line="320" w:lineRule="exact"/>
              <w:jc w:val="center"/>
              <w:rPr>
                <w:b/>
                <w:kern w:val="0"/>
                <w:szCs w:val="21"/>
              </w:rPr>
            </w:pPr>
            <w:r>
              <w:rPr>
                <w:b/>
                <w:kern w:val="0"/>
                <w:szCs w:val="21"/>
              </w:rPr>
              <w:t>OP20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半精加工底面及底面孔系</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A轴卧加（单主轴）</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35" w:type="dxa"/>
            <w:noWrap/>
            <w:vAlign w:val="center"/>
          </w:tcPr>
          <w:p>
            <w:pPr>
              <w:spacing w:line="320" w:lineRule="exact"/>
              <w:jc w:val="center"/>
              <w:rPr>
                <w:b/>
                <w:kern w:val="0"/>
                <w:szCs w:val="21"/>
              </w:rPr>
            </w:pPr>
            <w:r>
              <w:rPr>
                <w:b/>
                <w:kern w:val="0"/>
                <w:szCs w:val="21"/>
              </w:rPr>
              <w:t>OP30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加工两端面、顶面及两端面、顶面部分孔系等</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A、B轴卧加（单主轴）</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35" w:type="dxa"/>
            <w:noWrap/>
            <w:vAlign w:val="center"/>
          </w:tcPr>
          <w:p>
            <w:pPr>
              <w:spacing w:line="320" w:lineRule="exact"/>
              <w:jc w:val="center"/>
              <w:rPr>
                <w:b/>
                <w:kern w:val="0"/>
                <w:szCs w:val="21"/>
              </w:rPr>
            </w:pPr>
            <w:r>
              <w:rPr>
                <w:b/>
                <w:kern w:val="0"/>
                <w:szCs w:val="21"/>
              </w:rPr>
              <w:t>OP40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加工进气侧面、顶面及进气侧面、顶面孔系等</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A轴卧加（单主轴）</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35" w:type="dxa"/>
            <w:noWrap/>
            <w:vAlign w:val="center"/>
          </w:tcPr>
          <w:p>
            <w:pPr>
              <w:spacing w:line="320" w:lineRule="exact"/>
              <w:jc w:val="center"/>
              <w:rPr>
                <w:b/>
                <w:kern w:val="0"/>
                <w:szCs w:val="21"/>
              </w:rPr>
            </w:pPr>
            <w:r>
              <w:rPr>
                <w:b/>
                <w:kern w:val="0"/>
                <w:szCs w:val="21"/>
              </w:rPr>
              <w:t>OP50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加工排气侧面、底面及排气侧面、底面孔系</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A轴卧加（单主轴）</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35" w:type="dxa"/>
            <w:noWrap/>
            <w:vAlign w:val="center"/>
          </w:tcPr>
          <w:p>
            <w:pPr>
              <w:spacing w:line="320" w:lineRule="exact"/>
              <w:jc w:val="center"/>
              <w:rPr>
                <w:b/>
                <w:kern w:val="0"/>
                <w:szCs w:val="21"/>
              </w:rPr>
            </w:pPr>
            <w:r>
              <w:rPr>
                <w:b/>
                <w:kern w:val="0"/>
                <w:szCs w:val="21"/>
              </w:rPr>
              <w:t>OP60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机器人自动修毛刺</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机器人系统</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35" w:type="dxa"/>
            <w:noWrap/>
            <w:vAlign w:val="center"/>
          </w:tcPr>
          <w:p>
            <w:pPr>
              <w:spacing w:line="320" w:lineRule="exact"/>
              <w:jc w:val="center"/>
              <w:rPr>
                <w:b/>
                <w:kern w:val="0"/>
                <w:szCs w:val="21"/>
              </w:rPr>
            </w:pPr>
            <w:r>
              <w:rPr>
                <w:b/>
                <w:kern w:val="0"/>
                <w:szCs w:val="21"/>
              </w:rPr>
              <w:t>OP70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中间-1清洗</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中间清洗机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35" w:type="dxa"/>
            <w:noWrap/>
            <w:vAlign w:val="center"/>
          </w:tcPr>
          <w:p>
            <w:pPr>
              <w:spacing w:line="320" w:lineRule="exact"/>
              <w:jc w:val="center"/>
              <w:rPr>
                <w:b/>
                <w:kern w:val="0"/>
                <w:szCs w:val="21"/>
              </w:rPr>
            </w:pPr>
            <w:r>
              <w:rPr>
                <w:b/>
                <w:kern w:val="0"/>
                <w:szCs w:val="21"/>
              </w:rPr>
              <w:t>OP80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人工施胶装配顶面3-NPT3/8（考虑锥螺堵搭子面锪一刀便于中间试漏封堵，然后锥螺堵OP180序一起装）</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施胶及拧紧机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135" w:type="dxa"/>
            <w:noWrap/>
            <w:vAlign w:val="center"/>
          </w:tcPr>
          <w:p>
            <w:pPr>
              <w:spacing w:line="320" w:lineRule="exact"/>
              <w:jc w:val="center"/>
              <w:rPr>
                <w:b/>
                <w:kern w:val="0"/>
                <w:szCs w:val="21"/>
              </w:rPr>
            </w:pPr>
            <w:r>
              <w:rPr>
                <w:b/>
                <w:kern w:val="0"/>
                <w:szCs w:val="21"/>
              </w:rPr>
              <w:t>OP90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中间试漏</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中间试漏机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35" w:type="dxa"/>
            <w:noWrap/>
            <w:vAlign w:val="center"/>
          </w:tcPr>
          <w:p>
            <w:pPr>
              <w:spacing w:line="320" w:lineRule="exact"/>
              <w:jc w:val="center"/>
              <w:rPr>
                <w:b/>
                <w:kern w:val="0"/>
                <w:szCs w:val="21"/>
              </w:rPr>
            </w:pPr>
            <w:r>
              <w:rPr>
                <w:b/>
                <w:kern w:val="0"/>
                <w:szCs w:val="21"/>
              </w:rPr>
              <w:t>OP100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座圈导管压装</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座圈导管压装机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135" w:type="dxa"/>
            <w:noWrap/>
            <w:vAlign w:val="center"/>
          </w:tcPr>
          <w:p>
            <w:pPr>
              <w:spacing w:line="320" w:lineRule="exact"/>
              <w:jc w:val="center"/>
              <w:rPr>
                <w:b/>
                <w:kern w:val="0"/>
                <w:szCs w:val="21"/>
              </w:rPr>
            </w:pPr>
            <w:r>
              <w:rPr>
                <w:b/>
                <w:kern w:val="0"/>
                <w:szCs w:val="21"/>
              </w:rPr>
              <w:t>OP110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精加工座圈孔及导管孔、精铣底面</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A轴卧加（单主轴）</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135" w:type="dxa"/>
            <w:noWrap/>
            <w:vAlign w:val="center"/>
          </w:tcPr>
          <w:p>
            <w:pPr>
              <w:spacing w:line="320" w:lineRule="exact"/>
              <w:jc w:val="center"/>
              <w:rPr>
                <w:b/>
                <w:kern w:val="0"/>
                <w:szCs w:val="21"/>
              </w:rPr>
            </w:pPr>
            <w:r>
              <w:rPr>
                <w:b/>
                <w:kern w:val="0"/>
                <w:szCs w:val="21"/>
              </w:rPr>
              <w:t>OP120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中间-2工位清洗</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中间工位清洗机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135" w:type="dxa"/>
            <w:noWrap/>
            <w:vAlign w:val="center"/>
          </w:tcPr>
          <w:p>
            <w:pPr>
              <w:spacing w:line="320" w:lineRule="exact"/>
              <w:jc w:val="center"/>
              <w:rPr>
                <w:b/>
                <w:kern w:val="0"/>
                <w:szCs w:val="21"/>
              </w:rPr>
            </w:pPr>
            <w:r>
              <w:rPr>
                <w:b/>
                <w:kern w:val="0"/>
                <w:szCs w:val="21"/>
              </w:rPr>
              <w:t>OP130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人工装气门室罩盖，自动压气门室罩盖定位销、人工装螺栓并预紧，自动拧紧螺栓</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自动压装定位销及自动拧紧机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35" w:type="dxa"/>
            <w:noWrap/>
            <w:vAlign w:val="center"/>
          </w:tcPr>
          <w:p>
            <w:pPr>
              <w:spacing w:line="320" w:lineRule="exact"/>
              <w:jc w:val="center"/>
              <w:rPr>
                <w:b/>
                <w:kern w:val="0"/>
                <w:szCs w:val="21"/>
              </w:rPr>
            </w:pPr>
            <w:r>
              <w:rPr>
                <w:b/>
                <w:kern w:val="0"/>
                <w:szCs w:val="21"/>
              </w:rPr>
              <w:t>OP140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加工前、后端面、凸轮轴孔、止推面、加工气门室罩盖上孔系</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A、B轴卧加（单主轴）</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135" w:type="dxa"/>
            <w:noWrap/>
            <w:vAlign w:val="center"/>
          </w:tcPr>
          <w:p>
            <w:pPr>
              <w:spacing w:line="320" w:lineRule="exact"/>
              <w:jc w:val="center"/>
              <w:rPr>
                <w:b/>
                <w:kern w:val="0"/>
                <w:szCs w:val="21"/>
              </w:rPr>
            </w:pPr>
            <w:r>
              <w:rPr>
                <w:b/>
                <w:kern w:val="0"/>
                <w:szCs w:val="21"/>
              </w:rPr>
              <w:t>OP150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机器人自动修毛刺</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机器人系统</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135" w:type="dxa"/>
            <w:noWrap/>
            <w:vAlign w:val="center"/>
          </w:tcPr>
          <w:p>
            <w:pPr>
              <w:spacing w:line="320" w:lineRule="exact"/>
              <w:jc w:val="center"/>
              <w:rPr>
                <w:b/>
                <w:kern w:val="0"/>
                <w:szCs w:val="21"/>
              </w:rPr>
            </w:pPr>
            <w:r>
              <w:rPr>
                <w:b/>
                <w:kern w:val="0"/>
                <w:szCs w:val="21"/>
              </w:rPr>
              <w:t>OP160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拆气门室罩盖（拆除的气门室罩盖与缸盖配套转运）</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机器人系统</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35" w:type="dxa"/>
            <w:noWrap/>
            <w:vAlign w:val="center"/>
          </w:tcPr>
          <w:p>
            <w:pPr>
              <w:spacing w:line="320" w:lineRule="exact"/>
              <w:jc w:val="center"/>
              <w:rPr>
                <w:b/>
                <w:kern w:val="0"/>
                <w:szCs w:val="21"/>
              </w:rPr>
            </w:pPr>
            <w:r>
              <w:rPr>
                <w:b/>
                <w:kern w:val="0"/>
                <w:szCs w:val="21"/>
              </w:rPr>
              <w:t>OP170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最终清洗（吹缸盖残留铝削），包括拆下的气门室罩盖清洗</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最终清洗机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135" w:type="dxa"/>
            <w:noWrap/>
            <w:vAlign w:val="center"/>
          </w:tcPr>
          <w:p>
            <w:pPr>
              <w:spacing w:line="320" w:lineRule="exact"/>
              <w:jc w:val="center"/>
              <w:rPr>
                <w:b/>
                <w:kern w:val="0"/>
                <w:szCs w:val="21"/>
              </w:rPr>
            </w:pPr>
            <w:r>
              <w:rPr>
                <w:b/>
                <w:kern w:val="0"/>
                <w:szCs w:val="21"/>
              </w:rPr>
              <w:t>OP180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人工上螺堵、机器人自动压碗型塞</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施胶上螺堵、自动拧紧机、碗型塞压装机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35" w:type="dxa"/>
            <w:noWrap/>
            <w:vAlign w:val="center"/>
          </w:tcPr>
          <w:p>
            <w:pPr>
              <w:spacing w:line="320" w:lineRule="exact"/>
              <w:jc w:val="center"/>
              <w:rPr>
                <w:b/>
                <w:kern w:val="0"/>
                <w:szCs w:val="21"/>
              </w:rPr>
            </w:pPr>
            <w:r>
              <w:rPr>
                <w:b/>
                <w:kern w:val="0"/>
                <w:szCs w:val="21"/>
              </w:rPr>
              <w:t>OP190</w:t>
            </w:r>
          </w:p>
        </w:tc>
        <w:tc>
          <w:tcPr>
            <w:tcW w:w="4394"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最终试漏</w:t>
            </w:r>
          </w:p>
        </w:tc>
        <w:tc>
          <w:tcPr>
            <w:tcW w:w="2410" w:type="dxa"/>
            <w:noWrap/>
            <w:vAlign w:val="center"/>
          </w:tcPr>
          <w:p>
            <w:pPr>
              <w:pStyle w:val="153"/>
              <w:keepLines w:val="0"/>
              <w:widowControl w:val="0"/>
              <w:spacing w:before="0" w:line="320" w:lineRule="exact"/>
              <w:ind w:firstLine="0" w:firstLineChars="0"/>
              <w:rPr>
                <w:rFonts w:ascii="Times New Roman" w:hAnsi="Times New Roman"/>
                <w:sz w:val="21"/>
                <w:szCs w:val="21"/>
                <w:lang w:eastAsia="zh-CN"/>
              </w:rPr>
            </w:pPr>
            <w:r>
              <w:rPr>
                <w:rFonts w:ascii="Times New Roman" w:hAnsi="Times New Roman"/>
                <w:sz w:val="21"/>
                <w:szCs w:val="21"/>
                <w:lang w:eastAsia="zh-CN"/>
              </w:rPr>
              <w:t>最终试漏机</w:t>
            </w:r>
          </w:p>
        </w:tc>
        <w:tc>
          <w:tcPr>
            <w:tcW w:w="1417" w:type="dxa"/>
            <w:noWrap/>
            <w:vAlign w:val="center"/>
          </w:tcPr>
          <w:p>
            <w:pPr>
              <w:pStyle w:val="153"/>
              <w:keepLines w:val="0"/>
              <w:widowControl w:val="0"/>
              <w:spacing w:before="0" w:line="32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35" w:type="dxa"/>
            <w:noWrap/>
            <w:vAlign w:val="center"/>
          </w:tcPr>
          <w:p>
            <w:pPr>
              <w:spacing w:line="320" w:lineRule="exact"/>
              <w:jc w:val="center"/>
              <w:rPr>
                <w:b/>
                <w:kern w:val="0"/>
                <w:szCs w:val="21"/>
              </w:rPr>
            </w:pPr>
            <w:r>
              <w:rPr>
                <w:b/>
                <w:kern w:val="0"/>
                <w:szCs w:val="21"/>
              </w:rPr>
              <w:t>OP200</w:t>
            </w:r>
          </w:p>
        </w:tc>
        <w:tc>
          <w:tcPr>
            <w:tcW w:w="4394" w:type="dxa"/>
            <w:noWrap/>
            <w:vAlign w:val="center"/>
          </w:tcPr>
          <w:p>
            <w:pPr>
              <w:pStyle w:val="153"/>
              <w:keepLines w:val="0"/>
              <w:widowControl w:val="0"/>
              <w:spacing w:before="0" w:line="440" w:lineRule="exact"/>
              <w:ind w:firstLine="0" w:firstLineChars="0"/>
              <w:rPr>
                <w:rFonts w:ascii="Times New Roman" w:hAnsi="Times New Roman"/>
                <w:sz w:val="21"/>
                <w:szCs w:val="21"/>
                <w:lang w:eastAsia="zh-CN"/>
              </w:rPr>
            </w:pPr>
            <w:r>
              <w:rPr>
                <w:rFonts w:ascii="Times New Roman" w:hAnsi="Times New Roman"/>
                <w:sz w:val="21"/>
                <w:szCs w:val="21"/>
                <w:lang w:eastAsia="zh-CN"/>
              </w:rPr>
              <w:t>完工下线、外观检查、入库</w:t>
            </w:r>
          </w:p>
        </w:tc>
        <w:tc>
          <w:tcPr>
            <w:tcW w:w="2410" w:type="dxa"/>
            <w:noWrap/>
            <w:vAlign w:val="center"/>
          </w:tcPr>
          <w:p>
            <w:pPr>
              <w:pStyle w:val="153"/>
              <w:keepLines w:val="0"/>
              <w:widowControl w:val="0"/>
              <w:spacing w:before="0" w:line="440" w:lineRule="exact"/>
              <w:ind w:firstLine="0" w:firstLineChars="0"/>
              <w:rPr>
                <w:rFonts w:ascii="Times New Roman" w:hAnsi="Times New Roman"/>
                <w:sz w:val="21"/>
                <w:szCs w:val="21"/>
                <w:lang w:eastAsia="zh-CN"/>
              </w:rPr>
            </w:pPr>
            <w:r>
              <w:rPr>
                <w:rFonts w:ascii="Times New Roman" w:hAnsi="Times New Roman"/>
                <w:sz w:val="21"/>
                <w:szCs w:val="21"/>
                <w:lang w:eastAsia="zh-CN"/>
              </w:rPr>
              <w:t>机器人系统</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9" w:type="dxa"/>
            <w:gridSpan w:val="3"/>
            <w:noWrap/>
            <w:vAlign w:val="center"/>
          </w:tcPr>
          <w:p>
            <w:pPr>
              <w:widowControl/>
              <w:jc w:val="center"/>
              <w:rPr>
                <w:kern w:val="0"/>
                <w:szCs w:val="21"/>
              </w:rPr>
            </w:pPr>
            <w:r>
              <w:rPr>
                <w:szCs w:val="21"/>
              </w:rPr>
              <w:t>刀具</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1套/台机床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9" w:type="dxa"/>
            <w:gridSpan w:val="3"/>
            <w:noWrap/>
            <w:vAlign w:val="center"/>
          </w:tcPr>
          <w:p>
            <w:pPr>
              <w:widowControl/>
              <w:jc w:val="center"/>
              <w:rPr>
                <w:szCs w:val="21"/>
              </w:rPr>
            </w:pPr>
            <w:r>
              <w:rPr>
                <w:szCs w:val="21"/>
              </w:rPr>
              <w:t>夹具</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1套/台机床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9" w:type="dxa"/>
            <w:gridSpan w:val="3"/>
            <w:noWrap/>
            <w:vAlign w:val="center"/>
          </w:tcPr>
          <w:p>
            <w:pPr>
              <w:widowControl/>
              <w:jc w:val="center"/>
              <w:rPr>
                <w:szCs w:val="21"/>
              </w:rPr>
            </w:pPr>
            <w:r>
              <w:rPr>
                <w:szCs w:val="21"/>
              </w:rPr>
              <w:t>量检具及在线测量系统</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9" w:type="dxa"/>
            <w:gridSpan w:val="3"/>
            <w:noWrap/>
            <w:vAlign w:val="center"/>
          </w:tcPr>
          <w:p>
            <w:pPr>
              <w:widowControl/>
              <w:jc w:val="center"/>
              <w:rPr>
                <w:szCs w:val="21"/>
              </w:rPr>
            </w:pPr>
            <w:r>
              <w:rPr>
                <w:szCs w:val="21"/>
              </w:rPr>
              <w:t>整线输送系统（辅机、专机及长距离之间输送）</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9" w:type="dxa"/>
            <w:gridSpan w:val="3"/>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精加工单元地轨式关节机器人系统</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9" w:type="dxa"/>
            <w:gridSpan w:val="3"/>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切削液集中处理系统</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9" w:type="dxa"/>
            <w:gridSpan w:val="3"/>
            <w:noWrap/>
            <w:vAlign w:val="center"/>
          </w:tcPr>
          <w:p>
            <w:pPr>
              <w:widowControl/>
              <w:jc w:val="center"/>
              <w:rPr>
                <w:szCs w:val="21"/>
              </w:rPr>
            </w:pPr>
            <w:r>
              <w:rPr>
                <w:szCs w:val="21"/>
              </w:rPr>
              <w:t>水雾处理系统</w:t>
            </w:r>
          </w:p>
        </w:tc>
        <w:tc>
          <w:tcPr>
            <w:tcW w:w="1417" w:type="dxa"/>
            <w:noWrap/>
            <w:vAlign w:val="center"/>
          </w:tcPr>
          <w:p>
            <w:pPr>
              <w:pStyle w:val="153"/>
              <w:keepLines w:val="0"/>
              <w:widowControl w:val="0"/>
              <w:spacing w:before="0" w:line="440" w:lineRule="exact"/>
              <w:ind w:firstLine="0" w:firstLineChars="0"/>
              <w:jc w:val="center"/>
              <w:rPr>
                <w:rFonts w:ascii="Times New Roman" w:hAnsi="Times New Roman"/>
                <w:sz w:val="21"/>
                <w:szCs w:val="21"/>
                <w:lang w:eastAsia="zh-CN"/>
              </w:rPr>
            </w:pPr>
            <w:r>
              <w:rPr>
                <w:rFonts w:ascii="Times New Roman" w:hAnsi="Times New Roman"/>
                <w:sz w:val="21"/>
                <w:szCs w:val="21"/>
                <w:lang w:eastAsia="zh-CN"/>
              </w:rPr>
              <w:t>2套</w:t>
            </w:r>
          </w:p>
        </w:tc>
      </w:tr>
    </w:tbl>
    <w:p>
      <w:pPr>
        <w:snapToGrid w:val="0"/>
        <w:spacing w:line="360" w:lineRule="auto"/>
        <w:ind w:firstLine="482"/>
        <w:rPr>
          <w:rFonts w:ascii="宋体" w:hAnsi="宋体" w:cs="宋体"/>
          <w:sz w:val="28"/>
          <w:szCs w:val="28"/>
        </w:rPr>
      </w:pPr>
      <w:r>
        <w:rPr>
          <w:rFonts w:ascii="宋体" w:hAnsi="宋体" w:cs="宋体"/>
          <w:sz w:val="28"/>
          <w:szCs w:val="28"/>
        </w:rPr>
        <w:t>③</w:t>
      </w:r>
      <w:r>
        <w:rPr>
          <w:rFonts w:hint="eastAsia" w:ascii="宋体" w:hAnsi="宋体" w:cs="宋体"/>
          <w:sz w:val="28"/>
          <w:szCs w:val="28"/>
        </w:rPr>
        <w:t xml:space="preserve"> 加工工艺说明</w:t>
      </w:r>
    </w:p>
    <w:p>
      <w:pPr>
        <w:snapToGrid w:val="0"/>
        <w:spacing w:line="360" w:lineRule="auto"/>
        <w:ind w:firstLine="482"/>
        <w:rPr>
          <w:rFonts w:ascii="宋体" w:hAnsi="宋体" w:cs="宋体"/>
          <w:sz w:val="28"/>
          <w:szCs w:val="28"/>
        </w:rPr>
      </w:pPr>
      <w:r>
        <w:rPr>
          <w:rFonts w:hint="eastAsia" w:ascii="宋体" w:hAnsi="宋体" w:cs="宋体"/>
          <w:sz w:val="28"/>
          <w:szCs w:val="28"/>
        </w:rPr>
        <w:t>a、毛坯上线及粗加工工序采用输送辊道、人工上下料方式，精加工工序采用桁架机器人自动上下料，专机和辅机采用输送辊道自动进出料、自动加工运行，整线配置中间和完工机器人自动修毛刺系统，完工下线采用人工搬运等，设置切屑及切削液集中处理系统及水雾处理系统，物料输送采用叉车转运等。</w:t>
      </w:r>
    </w:p>
    <w:p>
      <w:pPr>
        <w:snapToGrid w:val="0"/>
        <w:spacing w:line="360" w:lineRule="auto"/>
        <w:ind w:firstLine="482"/>
        <w:rPr>
          <w:rFonts w:ascii="宋体" w:hAnsi="宋体" w:cs="宋体"/>
          <w:sz w:val="28"/>
          <w:szCs w:val="28"/>
        </w:rPr>
      </w:pPr>
      <w:r>
        <w:rPr>
          <w:rFonts w:hint="eastAsia" w:ascii="宋体" w:hAnsi="宋体" w:cs="宋体"/>
          <w:sz w:val="28"/>
          <w:szCs w:val="28"/>
        </w:rPr>
        <w:t>b、气缸盖进、排气阀锥面及导管内孔的加工是保证气密性和配气质量的关键工序，直接影响发动机的动力性能。导管底孔和阀座底孔的加工，本项目采用钻、扩、镗、精铰工艺，其精加工选用Mapal精镗刀，能可靠地保证导管底孔和阀座底孔的同轴度和导管底孔对底平面的垂直度。</w:t>
      </w:r>
    </w:p>
    <w:p>
      <w:pPr>
        <w:snapToGrid w:val="0"/>
        <w:spacing w:line="360" w:lineRule="auto"/>
        <w:ind w:firstLine="482"/>
        <w:rPr>
          <w:rFonts w:ascii="宋体" w:hAnsi="宋体" w:cs="宋体"/>
          <w:sz w:val="28"/>
          <w:szCs w:val="28"/>
        </w:rPr>
      </w:pPr>
      <w:r>
        <w:rPr>
          <w:rFonts w:hint="eastAsia" w:ascii="宋体" w:hAnsi="宋体" w:cs="宋体"/>
          <w:sz w:val="28"/>
          <w:szCs w:val="28"/>
        </w:rPr>
        <w:t>阀座密封锥面和导管孔的加工，采用精锪阀座锥面、枪铰导管孔的工艺，采用MAPAL专用刀具加工，保证其跳动量，以确保其气密性。</w:t>
      </w:r>
    </w:p>
    <w:p>
      <w:pPr>
        <w:snapToGrid w:val="0"/>
        <w:spacing w:line="360" w:lineRule="auto"/>
        <w:ind w:firstLine="482"/>
        <w:rPr>
          <w:rFonts w:ascii="宋体" w:hAnsi="宋体" w:cs="宋体"/>
          <w:sz w:val="28"/>
          <w:szCs w:val="28"/>
        </w:rPr>
      </w:pPr>
      <w:r>
        <w:rPr>
          <w:rFonts w:hint="eastAsia" w:ascii="宋体" w:hAnsi="宋体" w:cs="宋体"/>
          <w:sz w:val="28"/>
          <w:szCs w:val="28"/>
        </w:rPr>
        <w:t>c、为确保零件的清洁度，生产线采用机器人去毛刺和多次清洗工艺，确保零件的清洁度达到要求。</w:t>
      </w:r>
    </w:p>
    <w:p>
      <w:pPr>
        <w:snapToGrid w:val="0"/>
        <w:spacing w:line="360" w:lineRule="auto"/>
        <w:ind w:firstLine="482"/>
        <w:rPr>
          <w:rFonts w:ascii="宋体" w:hAnsi="宋体"/>
          <w:sz w:val="28"/>
          <w:szCs w:val="28"/>
        </w:rPr>
      </w:pPr>
      <w:r>
        <w:rPr>
          <w:rFonts w:hint="eastAsia" w:ascii="宋体" w:hAnsi="宋体" w:cs="宋体"/>
          <w:sz w:val="28"/>
          <w:szCs w:val="28"/>
        </w:rPr>
        <w:t>d、零件的检测：为及时发现加工过程中出现的各类问题，工序间设置有相应的检验工位，由工人采用检测仪器对零件进行抽检。缸盖的最终检测采用抽检方式，由三坐标测量机承担，分别对缸盖各项尺寸精度和位置精度进行综合测量，以监控产品质量。</w:t>
      </w:r>
    </w:p>
    <w:p>
      <w:pPr>
        <w:pStyle w:val="5"/>
        <w:keepNext w:val="0"/>
        <w:keepLines w:val="0"/>
        <w:snapToGrid w:val="0"/>
        <w:spacing w:before="0" w:after="0" w:line="360" w:lineRule="auto"/>
        <w:jc w:val="left"/>
        <w:rPr>
          <w:rFonts w:ascii="宋体" w:hAnsi="宋体" w:cs="宋体"/>
          <w:sz w:val="28"/>
          <w:szCs w:val="28"/>
        </w:rPr>
      </w:pPr>
      <w:bookmarkStart w:id="212" w:name="_Toc13390"/>
      <w:r>
        <w:rPr>
          <w:rFonts w:hint="eastAsia" w:ascii="宋体" w:hAnsi="宋体" w:cs="宋体"/>
          <w:sz w:val="28"/>
          <w:szCs w:val="28"/>
        </w:rPr>
        <w:t>2.7.2</w:t>
      </w:r>
      <w:bookmarkEnd w:id="210"/>
      <w:bookmarkEnd w:id="211"/>
      <w:r>
        <w:rPr>
          <w:rFonts w:hint="eastAsia" w:ascii="宋体" w:hAnsi="宋体" w:cs="宋体"/>
          <w:sz w:val="28"/>
          <w:szCs w:val="28"/>
        </w:rPr>
        <w:t xml:space="preserve"> 装试生产线</w:t>
      </w:r>
      <w:bookmarkEnd w:id="212"/>
    </w:p>
    <w:p>
      <w:pPr>
        <w:snapToGrid w:val="0"/>
        <w:spacing w:line="360" w:lineRule="auto"/>
        <w:ind w:firstLine="482"/>
        <w:rPr>
          <w:rFonts w:ascii="宋体" w:hAnsi="宋体" w:cs="宋体"/>
          <w:sz w:val="28"/>
          <w:szCs w:val="28"/>
        </w:rPr>
      </w:pPr>
      <w:bookmarkStart w:id="213" w:name="_Toc516400703"/>
      <w:bookmarkStart w:id="214" w:name="_Toc18894"/>
      <w:r>
        <w:rPr>
          <w:rFonts w:hint="eastAsia" w:ascii="宋体" w:hAnsi="宋体" w:cs="宋体"/>
          <w:sz w:val="28"/>
          <w:szCs w:val="28"/>
        </w:rPr>
        <w:t>G系列节能环保轻型商用车汽油机分装、总装、热试、后装、成品包装。</w:t>
      </w:r>
    </w:p>
    <w:p>
      <w:pPr>
        <w:snapToGrid w:val="0"/>
        <w:spacing w:line="360" w:lineRule="auto"/>
        <w:ind w:firstLine="482"/>
        <w:rPr>
          <w:rFonts w:ascii="宋体" w:hAnsi="宋体" w:cs="宋体"/>
          <w:sz w:val="28"/>
          <w:szCs w:val="28"/>
        </w:rPr>
      </w:pPr>
      <w:r>
        <w:rPr>
          <w:rFonts w:hint="eastAsia" w:ascii="宋体" w:hAnsi="宋体" w:cs="宋体"/>
          <w:sz w:val="28"/>
          <w:szCs w:val="28"/>
        </w:rPr>
        <w:t>1.生产线任务</w:t>
      </w:r>
    </w:p>
    <w:p>
      <w:pPr>
        <w:snapToGrid w:val="0"/>
        <w:spacing w:line="360" w:lineRule="auto"/>
        <w:ind w:firstLine="482"/>
        <w:rPr>
          <w:rFonts w:ascii="宋体" w:hAnsi="宋体" w:cs="宋体"/>
          <w:sz w:val="28"/>
          <w:szCs w:val="28"/>
        </w:rPr>
      </w:pPr>
      <w:r>
        <w:rPr>
          <w:rFonts w:hint="eastAsia" w:ascii="宋体" w:hAnsi="宋体" w:cs="宋体"/>
          <w:sz w:val="28"/>
          <w:szCs w:val="28"/>
        </w:rPr>
        <w:t>完成G系列节能环保轻型商用车汽油机的分装、总装、热试、后装、成品包装。</w:t>
      </w:r>
    </w:p>
    <w:p>
      <w:pPr>
        <w:snapToGrid w:val="0"/>
        <w:spacing w:line="360" w:lineRule="auto"/>
        <w:ind w:firstLine="482"/>
        <w:rPr>
          <w:rFonts w:ascii="宋体" w:hAnsi="宋体" w:cs="宋体"/>
          <w:sz w:val="28"/>
          <w:szCs w:val="28"/>
        </w:rPr>
      </w:pPr>
      <w:r>
        <w:rPr>
          <w:rFonts w:hint="eastAsia" w:ascii="宋体" w:hAnsi="宋体" w:cs="宋体"/>
          <w:sz w:val="28"/>
          <w:szCs w:val="28"/>
        </w:rPr>
        <w:t>2.生产纲领</w:t>
      </w:r>
    </w:p>
    <w:p>
      <w:pPr>
        <w:snapToGrid w:val="0"/>
        <w:spacing w:line="360" w:lineRule="auto"/>
        <w:ind w:firstLine="482"/>
        <w:rPr>
          <w:rFonts w:ascii="宋体" w:hAnsi="宋体" w:cs="宋体"/>
          <w:sz w:val="28"/>
          <w:szCs w:val="28"/>
        </w:rPr>
      </w:pPr>
      <w:r>
        <w:rPr>
          <w:rFonts w:hint="eastAsia" w:ascii="宋体" w:hAnsi="宋体" w:cs="宋体"/>
          <w:sz w:val="28"/>
          <w:szCs w:val="28"/>
        </w:rPr>
        <w:t>年产G系列节能环保轻型商用车汽油机10万台。</w:t>
      </w:r>
    </w:p>
    <w:p>
      <w:pPr>
        <w:snapToGrid w:val="0"/>
        <w:spacing w:line="360" w:lineRule="auto"/>
        <w:ind w:firstLine="482"/>
        <w:rPr>
          <w:rFonts w:ascii="宋体" w:hAnsi="宋体" w:cs="宋体"/>
          <w:sz w:val="28"/>
          <w:szCs w:val="28"/>
        </w:rPr>
      </w:pPr>
      <w:r>
        <w:rPr>
          <w:rFonts w:hint="eastAsia" w:ascii="宋体" w:hAnsi="宋体" w:cs="宋体"/>
          <w:sz w:val="28"/>
          <w:szCs w:val="28"/>
        </w:rPr>
        <w:t>3.工艺方案</w:t>
      </w:r>
    </w:p>
    <w:p>
      <w:pPr>
        <w:snapToGrid w:val="0"/>
        <w:spacing w:line="360" w:lineRule="auto"/>
        <w:ind w:firstLine="482"/>
        <w:rPr>
          <w:rFonts w:ascii="宋体" w:hAnsi="宋体" w:cs="宋体"/>
          <w:sz w:val="28"/>
          <w:szCs w:val="28"/>
        </w:rPr>
      </w:pPr>
      <w:r>
        <w:rPr>
          <w:rFonts w:hint="eastAsia" w:ascii="宋体" w:hAnsi="宋体" w:cs="宋体"/>
          <w:sz w:val="28"/>
          <w:szCs w:val="28"/>
        </w:rPr>
        <w:t>（1）本生产线属于大批量生产性质。</w:t>
      </w:r>
    </w:p>
    <w:p>
      <w:pPr>
        <w:snapToGrid w:val="0"/>
        <w:spacing w:line="360" w:lineRule="auto"/>
        <w:ind w:firstLine="482"/>
        <w:rPr>
          <w:rFonts w:ascii="宋体" w:hAnsi="宋体" w:cs="宋体"/>
          <w:sz w:val="28"/>
          <w:szCs w:val="28"/>
        </w:rPr>
      </w:pPr>
      <w:r>
        <w:rPr>
          <w:rFonts w:hint="eastAsia" w:ascii="宋体" w:hAnsi="宋体" w:cs="宋体"/>
          <w:sz w:val="28"/>
          <w:szCs w:val="28"/>
        </w:rPr>
        <w:t>（2）生产线主要工艺流程：零部件翻包（库房）--分装—总装—热试—后装—成品包装—发运（入库）。</w:t>
      </w:r>
    </w:p>
    <w:p>
      <w:pPr>
        <w:snapToGrid w:val="0"/>
        <w:spacing w:line="360" w:lineRule="auto"/>
        <w:ind w:firstLine="482"/>
        <w:rPr>
          <w:rFonts w:ascii="宋体" w:hAnsi="宋体" w:cs="宋体"/>
          <w:sz w:val="28"/>
          <w:szCs w:val="28"/>
        </w:rPr>
      </w:pPr>
      <w:r>
        <w:rPr>
          <w:rFonts w:hint="eastAsia" w:ascii="宋体" w:hAnsi="宋体" w:cs="宋体"/>
          <w:sz w:val="28"/>
          <w:szCs w:val="28"/>
        </w:rPr>
        <w:t>（3）零部件拆包装换包装在翻包区完成，检查合格后送入本生产线。</w:t>
      </w:r>
    </w:p>
    <w:p>
      <w:pPr>
        <w:snapToGrid w:val="0"/>
        <w:spacing w:line="360" w:lineRule="auto"/>
        <w:ind w:firstLine="482"/>
        <w:rPr>
          <w:rFonts w:ascii="宋体" w:hAnsi="宋体" w:cs="宋体"/>
          <w:sz w:val="28"/>
          <w:szCs w:val="28"/>
        </w:rPr>
      </w:pPr>
      <w:r>
        <w:rPr>
          <w:rFonts w:hint="eastAsia" w:ascii="宋体" w:hAnsi="宋体" w:cs="宋体"/>
          <w:sz w:val="28"/>
          <w:szCs w:val="28"/>
        </w:rPr>
        <w:t>（4）装试生产线主要包括：集中布置的中小件分装区、线旁活塞连杆分装装线、缸盖分装线、总装线、总装离线返修区、试车准备区、热试台架、热试返修区、后装悬链、成品包装板式链；缸盖分装线布置在机加工区域。</w:t>
      </w:r>
    </w:p>
    <w:p>
      <w:pPr>
        <w:snapToGrid w:val="0"/>
        <w:spacing w:line="360" w:lineRule="auto"/>
        <w:ind w:firstLine="482"/>
        <w:rPr>
          <w:rFonts w:ascii="宋体" w:hAnsi="宋体" w:cs="宋体"/>
          <w:sz w:val="28"/>
          <w:szCs w:val="28"/>
        </w:rPr>
      </w:pPr>
      <w:r>
        <w:rPr>
          <w:rFonts w:hint="eastAsia" w:ascii="宋体" w:hAnsi="宋体" w:cs="宋体"/>
          <w:sz w:val="28"/>
          <w:szCs w:val="28"/>
        </w:rPr>
        <w:t>（5）总装主要工艺过程：机体部件上线—打标—拆装主轴瓦和曲轴—回转力矩检测—照相检测—装活塞连杆总成—回转力矩及轴向间隙检测—照相检测—装气门室罩盖/缸盖合件—装链系统—装后油封座/后齿轮室—装油底壳—装火花塞—装装油轨及喷油器等燃油路零件—装飞轮壳—油路气试—冷试—装进气歧管合件—装水泵—装增压器分装组件—中冷器—水路气试—装飞轮—装压盘—装工艺辅助支撑—上总装外装线—装发电机—装空调—装线束—整机下线。</w:t>
      </w:r>
    </w:p>
    <w:p>
      <w:pPr>
        <w:snapToGrid w:val="0"/>
        <w:spacing w:line="360" w:lineRule="auto"/>
        <w:ind w:firstLine="482"/>
        <w:rPr>
          <w:rFonts w:ascii="宋体" w:hAnsi="宋体" w:cs="宋体"/>
          <w:sz w:val="28"/>
          <w:szCs w:val="28"/>
        </w:rPr>
      </w:pPr>
      <w:r>
        <w:rPr>
          <w:rFonts w:hint="eastAsia" w:ascii="宋体" w:hAnsi="宋体" w:cs="宋体"/>
          <w:sz w:val="28"/>
          <w:szCs w:val="28"/>
        </w:rPr>
        <w:t>（6）活塞连杆分装主要工艺过程：拆盖—装活塞销及卡簧—装连杆上瓦。</w:t>
      </w:r>
    </w:p>
    <w:p>
      <w:pPr>
        <w:snapToGrid w:val="0"/>
        <w:spacing w:line="360" w:lineRule="auto"/>
        <w:ind w:firstLine="482"/>
        <w:rPr>
          <w:rFonts w:ascii="宋体" w:hAnsi="宋体" w:cs="宋体"/>
          <w:sz w:val="28"/>
          <w:szCs w:val="28"/>
        </w:rPr>
      </w:pPr>
      <w:r>
        <w:rPr>
          <w:rFonts w:hint="eastAsia" w:ascii="宋体" w:hAnsi="宋体" w:cs="宋体"/>
          <w:sz w:val="28"/>
          <w:szCs w:val="28"/>
        </w:rPr>
        <w:t>（7）缸盖分装线主要工艺过程：压气门油封—装气门—装弹簧及上座—压锁夹—检测—拍打—试漏。</w:t>
      </w:r>
    </w:p>
    <w:p>
      <w:pPr>
        <w:snapToGrid w:val="0"/>
        <w:spacing w:line="360" w:lineRule="auto"/>
        <w:ind w:firstLine="482"/>
        <w:rPr>
          <w:rFonts w:ascii="宋体" w:hAnsi="宋体" w:cs="宋体"/>
          <w:sz w:val="28"/>
          <w:szCs w:val="28"/>
        </w:rPr>
      </w:pPr>
      <w:r>
        <w:rPr>
          <w:rFonts w:hint="eastAsia" w:ascii="宋体" w:hAnsi="宋体" w:cs="宋体"/>
          <w:sz w:val="28"/>
          <w:szCs w:val="28"/>
        </w:rPr>
        <w:t>（8）热试主要工艺过程：发动机吊装上小车—装工艺管—空负荷热试—拆工艺管—吊下小车或上后装线。</w:t>
      </w:r>
    </w:p>
    <w:p>
      <w:pPr>
        <w:snapToGrid w:val="0"/>
        <w:spacing w:line="360" w:lineRule="auto"/>
        <w:ind w:firstLine="482"/>
        <w:rPr>
          <w:rFonts w:ascii="宋体" w:hAnsi="宋体" w:cs="宋体"/>
          <w:sz w:val="28"/>
          <w:szCs w:val="28"/>
        </w:rPr>
      </w:pPr>
      <w:r>
        <w:rPr>
          <w:rFonts w:hint="eastAsia" w:ascii="宋体" w:hAnsi="宋体" w:cs="宋体"/>
          <w:sz w:val="28"/>
          <w:szCs w:val="28"/>
        </w:rPr>
        <w:t>（9）成品包装线主要工艺过程：包装铁架上成品包装线—吊发动机上包装铁架—紧固发动机装箱支脚与包装铁架紧固螺栓—发动机外观总检、摆放随机附件、摆放干燥剂—发动机整机包装袋封口—整机包装袋粘贴条码、做标识—包装合格发动机下包装线入库。</w:t>
      </w:r>
    </w:p>
    <w:p>
      <w:pPr>
        <w:snapToGrid w:val="0"/>
        <w:spacing w:line="360" w:lineRule="auto"/>
        <w:ind w:firstLine="482"/>
        <w:rPr>
          <w:rFonts w:ascii="宋体" w:hAnsi="宋体" w:cs="宋体"/>
          <w:sz w:val="28"/>
          <w:szCs w:val="28"/>
        </w:rPr>
      </w:pPr>
      <w:r>
        <w:rPr>
          <w:rFonts w:hint="eastAsia" w:ascii="宋体" w:hAnsi="宋体" w:cs="宋体"/>
          <w:sz w:val="28"/>
          <w:szCs w:val="28"/>
        </w:rPr>
        <w:t>（10）通过采用自动化设备，加强自动检测，配套完善的信息化管理，实现高效生产。</w:t>
      </w:r>
    </w:p>
    <w:p>
      <w:pPr>
        <w:snapToGrid w:val="0"/>
        <w:spacing w:line="360" w:lineRule="auto"/>
        <w:ind w:firstLine="482"/>
        <w:rPr>
          <w:rFonts w:ascii="宋体" w:hAnsi="宋体" w:cs="宋体"/>
          <w:sz w:val="28"/>
          <w:szCs w:val="28"/>
        </w:rPr>
      </w:pPr>
      <w:r>
        <w:rPr>
          <w:rFonts w:hint="eastAsia" w:ascii="宋体" w:hAnsi="宋体" w:cs="宋体"/>
          <w:sz w:val="28"/>
          <w:szCs w:val="28"/>
        </w:rPr>
        <w:t>（11）总装线主要设备：缸体自动上线机器人、回松主轴承盖螺栓拧松机、曲轴自动上线机器人、拧紧主轴承盖螺栓并检测设备、主轴承盖照相检测设备、活塞连杆总成装配机器人工作站、连杆螺栓拧紧并检测设备、缸盖合件自动上线机器人工作站、缸盖螺栓拧紧设备、气门室罩盖涂胶并检测设备、气门室罩盖自动拧紧设备、正时罩盖自动涂胶并检测设备、皮带轮及中心螺栓拧紧设备、机体后端自动涂胶及检测设备、机体底面自动涂胶及检测设备、油底壳螺栓拧紧设备、后油封抽真空试漏设备、油道泄漏测试设备、注油机、水道泄漏测试设备、发动机下内装线上外装线用机器人、飞轮螺栓自动拧紧设备、轴承压装设备、压盘螺栓自动拧紧设备。</w:t>
      </w:r>
    </w:p>
    <w:p>
      <w:pPr>
        <w:snapToGrid w:val="0"/>
        <w:spacing w:line="360" w:lineRule="auto"/>
        <w:ind w:firstLine="482"/>
        <w:rPr>
          <w:rFonts w:ascii="宋体" w:hAnsi="宋体" w:cs="宋体"/>
          <w:sz w:val="28"/>
          <w:szCs w:val="28"/>
        </w:rPr>
      </w:pPr>
      <w:r>
        <w:rPr>
          <w:rFonts w:hint="eastAsia" w:ascii="宋体" w:hAnsi="宋体" w:cs="宋体"/>
          <w:sz w:val="28"/>
          <w:szCs w:val="28"/>
        </w:rPr>
        <w:t>（12）总装线上配2台套冷试台架，初期上1台冷试台架，后期根据实际产量情况再建设第2套冷试台架；冷试台架检测项目包括：①机械测试，②进、排气流量/压力测试，③机油压力/温度测试，④曲轴/凸轮轴正时测试，⑤VVT测试，⑥NVH噪声震动测试，⑦静态火花塞点火测试。</w:t>
      </w:r>
    </w:p>
    <w:p>
      <w:pPr>
        <w:snapToGrid w:val="0"/>
        <w:spacing w:line="360" w:lineRule="auto"/>
        <w:ind w:firstLine="482"/>
        <w:rPr>
          <w:rFonts w:ascii="宋体" w:hAnsi="宋体" w:cs="宋体"/>
          <w:sz w:val="28"/>
          <w:szCs w:val="28"/>
        </w:rPr>
      </w:pPr>
      <w:r>
        <w:rPr>
          <w:rFonts w:hint="eastAsia" w:ascii="宋体" w:hAnsi="宋体" w:cs="宋体"/>
          <w:sz w:val="28"/>
          <w:szCs w:val="28"/>
        </w:rPr>
        <w:t>（13）活塞连杆分装线主要设备：回松连杆盖并胀开吹吸屑设备。</w:t>
      </w:r>
    </w:p>
    <w:p>
      <w:pPr>
        <w:snapToGrid w:val="0"/>
        <w:spacing w:line="360" w:lineRule="auto"/>
        <w:ind w:firstLine="482"/>
        <w:rPr>
          <w:rFonts w:ascii="宋体" w:hAnsi="宋体" w:cs="宋体"/>
          <w:sz w:val="28"/>
          <w:szCs w:val="28"/>
        </w:rPr>
      </w:pPr>
      <w:r>
        <w:rPr>
          <w:rFonts w:hint="eastAsia" w:ascii="宋体" w:hAnsi="宋体" w:cs="宋体"/>
          <w:sz w:val="28"/>
          <w:szCs w:val="28"/>
        </w:rPr>
        <w:t>（14）缸盖分装线主要设备：气门杆油封压装设备、气门锁夹压装设备气门锁夹在线检测设备、气门拍打设备、气门试漏设备。</w:t>
      </w:r>
    </w:p>
    <w:p>
      <w:pPr>
        <w:snapToGrid w:val="0"/>
        <w:spacing w:line="360" w:lineRule="auto"/>
        <w:ind w:firstLine="482"/>
        <w:rPr>
          <w:rFonts w:ascii="宋体" w:hAnsi="宋体"/>
          <w:sz w:val="28"/>
          <w:szCs w:val="28"/>
        </w:rPr>
      </w:pPr>
      <w:r>
        <w:rPr>
          <w:rFonts w:hint="eastAsia" w:ascii="宋体" w:hAnsi="宋体" w:cs="宋体"/>
          <w:sz w:val="28"/>
          <w:szCs w:val="28"/>
        </w:rPr>
        <w:t>（15）建设2台套集装箱式空负荷热试台架：热试台架不带测功器，热试台架含集装箱式试车房、隔音设备、试车间进排风系统、冷却液加热供给系统、燃油供给系统、热试小车、抽油设备、抽水设备、消防系统等，发动机上下热试台架采用专用人工转运热试小车，热试小车上安装有水管、气管及油管快速接头，保证小车与台架的快速对接。由于发动机台架测试运行时间较短，并且不带负荷测试，水温、油温升温较慢，不能满足测试需要，冷却液供给系统配置冷却液加热、保温系统；另外为保证发动机内腔不出现锈蚀质量问题，冷却液供给系统配置防锈剂配液装置，保证冷却液防锈剂的浓度。项目初期，由于发动机零部件制造一致性、清洁度、装配一致性目前无法评估，建议此次项目建设2台热试台架，100%热试，后期根据台架热试故障、零公里故障、三包故障情况再确定热试进行抽检或补充热试台架。</w:t>
      </w:r>
    </w:p>
    <w:p>
      <w:pPr>
        <w:pStyle w:val="5"/>
        <w:keepNext w:val="0"/>
        <w:keepLines w:val="0"/>
        <w:snapToGrid w:val="0"/>
        <w:spacing w:before="0" w:after="0" w:line="360" w:lineRule="auto"/>
        <w:jc w:val="left"/>
        <w:rPr>
          <w:rFonts w:ascii="宋体" w:hAnsi="宋体" w:cs="宋体"/>
          <w:sz w:val="28"/>
          <w:szCs w:val="28"/>
        </w:rPr>
      </w:pPr>
      <w:bookmarkStart w:id="215" w:name="_Toc4389"/>
      <w:r>
        <w:rPr>
          <w:rFonts w:hint="eastAsia" w:ascii="宋体" w:hAnsi="宋体" w:cs="宋体"/>
          <w:sz w:val="28"/>
          <w:szCs w:val="28"/>
        </w:rPr>
        <w:t>2.7.3</w:t>
      </w:r>
      <w:bookmarkEnd w:id="213"/>
      <w:bookmarkEnd w:id="214"/>
      <w:r>
        <w:rPr>
          <w:rFonts w:hint="eastAsia" w:ascii="宋体" w:hAnsi="宋体" w:cs="宋体"/>
          <w:sz w:val="28"/>
          <w:szCs w:val="28"/>
        </w:rPr>
        <w:t xml:space="preserve"> 后装生产线</w:t>
      </w:r>
      <w:bookmarkEnd w:id="215"/>
    </w:p>
    <w:p>
      <w:pPr>
        <w:snapToGrid w:val="0"/>
        <w:spacing w:line="360" w:lineRule="auto"/>
        <w:ind w:firstLine="482"/>
        <w:rPr>
          <w:rFonts w:ascii="宋体" w:hAnsi="宋体" w:cs="宋体"/>
          <w:sz w:val="28"/>
          <w:szCs w:val="28"/>
        </w:rPr>
      </w:pPr>
      <w:bookmarkStart w:id="216" w:name="_Toc278151353"/>
      <w:bookmarkStart w:id="217" w:name="_Toc516400706"/>
      <w:bookmarkStart w:id="218" w:name="_Toc17991"/>
      <w:r>
        <w:rPr>
          <w:rFonts w:hint="eastAsia" w:ascii="宋体" w:hAnsi="宋体" w:cs="宋体"/>
          <w:sz w:val="28"/>
          <w:szCs w:val="28"/>
        </w:rPr>
        <w:t>1.生产线任务</w:t>
      </w:r>
    </w:p>
    <w:p>
      <w:pPr>
        <w:snapToGrid w:val="0"/>
        <w:spacing w:line="360" w:lineRule="auto"/>
        <w:ind w:firstLine="482"/>
        <w:rPr>
          <w:rFonts w:ascii="宋体" w:hAnsi="宋体" w:cs="宋体"/>
          <w:sz w:val="28"/>
          <w:szCs w:val="28"/>
        </w:rPr>
      </w:pPr>
      <w:r>
        <w:rPr>
          <w:rFonts w:hint="eastAsia" w:ascii="宋体" w:hAnsi="宋体" w:cs="宋体"/>
          <w:sz w:val="28"/>
          <w:szCs w:val="28"/>
        </w:rPr>
        <w:t>本生产线承担年产10万台G系列节能环保轻型商用车汽油机的后装生产任务。</w:t>
      </w:r>
    </w:p>
    <w:p>
      <w:pPr>
        <w:snapToGrid w:val="0"/>
        <w:spacing w:line="360" w:lineRule="auto"/>
        <w:ind w:firstLine="482"/>
        <w:rPr>
          <w:rFonts w:ascii="宋体" w:hAnsi="宋体" w:cs="宋体"/>
          <w:sz w:val="28"/>
          <w:szCs w:val="28"/>
        </w:rPr>
      </w:pPr>
      <w:r>
        <w:rPr>
          <w:rFonts w:hint="eastAsia" w:ascii="宋体" w:hAnsi="宋体" w:cs="宋体"/>
          <w:sz w:val="28"/>
          <w:szCs w:val="28"/>
        </w:rPr>
        <w:t>2.工作制度和年时基数</w:t>
      </w:r>
    </w:p>
    <w:p>
      <w:pPr>
        <w:snapToGrid w:val="0"/>
        <w:spacing w:line="360" w:lineRule="auto"/>
        <w:ind w:firstLine="482"/>
        <w:rPr>
          <w:rFonts w:ascii="宋体" w:hAnsi="宋体" w:cs="宋体"/>
          <w:sz w:val="28"/>
          <w:szCs w:val="28"/>
        </w:rPr>
      </w:pPr>
      <w:r>
        <w:rPr>
          <w:rFonts w:hint="eastAsia" w:ascii="宋体" w:hAnsi="宋体" w:cs="宋体"/>
          <w:sz w:val="28"/>
          <w:szCs w:val="28"/>
        </w:rPr>
        <w:t>全年计算的工作日258天，后装采用一班制，设备年时基数1790h，工人年时基数1790h。</w:t>
      </w:r>
    </w:p>
    <w:p>
      <w:pPr>
        <w:snapToGrid w:val="0"/>
        <w:spacing w:line="360" w:lineRule="auto"/>
        <w:ind w:firstLine="482"/>
        <w:rPr>
          <w:rFonts w:ascii="宋体" w:hAnsi="宋体" w:cs="宋体"/>
          <w:sz w:val="28"/>
          <w:szCs w:val="28"/>
        </w:rPr>
      </w:pPr>
      <w:bookmarkStart w:id="219" w:name="_Toc5476998"/>
      <w:bookmarkStart w:id="220" w:name="_Toc5477368"/>
      <w:r>
        <w:rPr>
          <w:rFonts w:hint="eastAsia" w:ascii="宋体" w:hAnsi="宋体" w:cs="宋体"/>
          <w:sz w:val="28"/>
          <w:szCs w:val="28"/>
        </w:rPr>
        <w:t>3.工艺方案</w:t>
      </w:r>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补漆室设置安全通风装置和去除漆雾装置。补漆室采用结构先进，除漆雾效率高（可达98%）的水旋式补漆室。工人室内操作，送风采用室外新鲜风，并经室体项部叁级过滤除尘后送入补漆室内，抽风采用离心风机从侧下部将含漆雾空气抽出与水雾充分混合过滤后高空达标排放。室体下方水池中的含少量悬浮漆渣废水定期排放至废水处理站处理达标后排放。调漆罐采用气动马达搅拌，输漆及漆液循环系统均选用进口国外先进设备，以保证大流量漆液的供给和漆液成份的稳定。</w:t>
      </w:r>
    </w:p>
    <w:p>
      <w:pPr>
        <w:snapToGrid w:val="0"/>
        <w:spacing w:line="360" w:lineRule="auto"/>
        <w:ind w:firstLine="48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（2）本项目使用油漆有清漆、铝粉漆、耐高温漆，油漆由工作人员手工调制。</w:t>
      </w:r>
    </w:p>
    <w:p>
      <w:pPr>
        <w:snapToGrid w:val="0"/>
        <w:spacing w:line="360" w:lineRule="auto"/>
        <w:ind w:firstLine="482"/>
        <w:rPr>
          <w:rFonts w:ascii="宋体" w:hAnsi="宋体" w:cs="宋体"/>
          <w:sz w:val="28"/>
          <w:szCs w:val="28"/>
        </w:rPr>
      </w:pPr>
      <w:r>
        <w:rPr>
          <w:rFonts w:hint="eastAsia" w:ascii="宋体" w:hAnsi="宋体" w:cs="宋体"/>
          <w:color w:val="000000" w:themeColor="text1"/>
          <w:sz w:val="28"/>
          <w:szCs w:val="28"/>
          <w14:textFill>
            <w14:solidFill>
              <w14:schemeClr w14:val="tx1"/>
            </w14:solidFill>
          </w14:textFill>
        </w:rPr>
        <w:t>（1）工件的输送采用轻型悬挂输</w:t>
      </w:r>
      <w:r>
        <w:rPr>
          <w:rFonts w:hint="eastAsia" w:ascii="宋体" w:hAnsi="宋体" w:cs="宋体"/>
          <w:sz w:val="28"/>
          <w:szCs w:val="28"/>
        </w:rPr>
        <w:t>送机完成，首先在线进行一次放机油，然后对冷热试形成的局部油污进行外观清洗、吹干，废气与补漆室废气合并处理达标后排放。</w:t>
      </w:r>
    </w:p>
    <w:p>
      <w:pPr>
        <w:snapToGrid w:val="0"/>
        <w:spacing w:line="360" w:lineRule="auto"/>
        <w:ind w:firstLine="482"/>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（2）外观清洗设备在合格化学品的前提下,符合《涂装作业安全规程 涂漆前处理工艺安全及其通风净化》（GB 7692-2012）的有关规定。整机噪音≤85dB。</w:t>
      </w:r>
    </w:p>
    <w:p>
      <w:pPr>
        <w:snapToGrid w:val="0"/>
        <w:spacing w:line="360" w:lineRule="auto"/>
        <w:ind w:firstLine="482"/>
        <w:rPr>
          <w:rFonts w:ascii="宋体" w:hAnsi="宋体" w:cs="宋体"/>
          <w:sz w:val="28"/>
          <w:szCs w:val="28"/>
        </w:rPr>
      </w:pPr>
      <w:r>
        <w:rPr>
          <w:rFonts w:hint="eastAsia" w:ascii="宋体" w:hAnsi="宋体" w:cs="宋体"/>
          <w:sz w:val="28"/>
          <w:szCs w:val="28"/>
        </w:rPr>
        <w:t>（3）经清洗干燥的工件进入补漆室完成对缸体外露加工面补清漆、对铝件冷热试过程中管口脏污部位补铝粉漆、对高温件装配过程中掉漆部位补高温漆，补漆室采用先进高效（除漆雾效率98%）的水旋式补漆室。上部送室外新鲜空调风，底部含漆雾空气抽出经活性炭吸、脱附燃烧处理达标后高空排放。</w:t>
      </w:r>
    </w:p>
    <w:p>
      <w:pPr>
        <w:snapToGrid w:val="0"/>
        <w:spacing w:line="360" w:lineRule="auto"/>
        <w:ind w:firstLine="482"/>
        <w:rPr>
          <w:rFonts w:ascii="宋体" w:hAnsi="宋体" w:cs="宋体"/>
          <w:sz w:val="28"/>
          <w:szCs w:val="28"/>
        </w:rPr>
      </w:pPr>
      <w:r>
        <w:rPr>
          <w:rFonts w:hint="eastAsia" w:ascii="宋体" w:hAnsi="宋体" w:cs="宋体"/>
          <w:sz w:val="28"/>
          <w:szCs w:val="28"/>
        </w:rPr>
        <w:t>（4</w:t>
      </w:r>
      <w:r>
        <w:rPr>
          <w:rFonts w:hint="eastAsia" w:ascii="宋体" w:hAnsi="宋体" w:cs="宋体"/>
          <w:color w:val="000000" w:themeColor="text1"/>
          <w:sz w:val="28"/>
          <w:szCs w:val="28"/>
          <w14:textFill>
            <w14:solidFill>
              <w14:schemeClr w14:val="tx1"/>
            </w14:solidFill>
          </w14:textFill>
        </w:rPr>
        <w:t>）补漆室设自动灭火系统（设备自带）</w:t>
      </w:r>
      <w:r>
        <w:rPr>
          <w:rFonts w:hint="eastAsia" w:ascii="宋体" w:hAnsi="宋体" w:cs="宋体"/>
          <w:sz w:val="28"/>
          <w:szCs w:val="28"/>
        </w:rPr>
        <w:t>。室内照明采用防爆荧光灯，照度满足喷涂要求，补漆室附近电器装置都采取相应的防爆措施。</w:t>
      </w:r>
    </w:p>
    <w:p>
      <w:pPr>
        <w:snapToGrid w:val="0"/>
        <w:spacing w:line="360" w:lineRule="auto"/>
        <w:ind w:firstLine="482"/>
        <w:rPr>
          <w:rFonts w:ascii="宋体" w:hAnsi="宋体" w:cs="宋体"/>
          <w:sz w:val="28"/>
          <w:szCs w:val="28"/>
        </w:rPr>
      </w:pPr>
      <w:r>
        <w:rPr>
          <w:rFonts w:hint="eastAsia" w:ascii="宋体" w:hAnsi="宋体" w:cs="宋体"/>
          <w:sz w:val="28"/>
          <w:szCs w:val="28"/>
        </w:rPr>
        <w:t>（5）补漆作业完成后工件进行二次放机油，以及线上完成装支架、风扇、起动机、加注新机油、贴条码等作业。</w:t>
      </w:r>
    </w:p>
    <w:p>
      <w:pPr>
        <w:snapToGrid w:val="0"/>
        <w:spacing w:line="360" w:lineRule="auto"/>
        <w:ind w:firstLine="482"/>
        <w:rPr>
          <w:rFonts w:ascii="宋体" w:hAnsi="宋体" w:cs="宋体"/>
          <w:sz w:val="28"/>
          <w:szCs w:val="28"/>
        </w:rPr>
      </w:pPr>
      <w:r>
        <w:rPr>
          <w:rFonts w:hint="eastAsia" w:ascii="宋体" w:hAnsi="宋体" w:cs="宋体"/>
          <w:sz w:val="28"/>
          <w:szCs w:val="28"/>
        </w:rPr>
        <w:t>（6） 漆后工件由轻型KBK行车转入包装线完成汽油机整机的包装作业。</w:t>
      </w:r>
    </w:p>
    <w:p>
      <w:pPr>
        <w:snapToGrid w:val="0"/>
        <w:spacing w:line="360" w:lineRule="auto"/>
        <w:ind w:firstLine="482"/>
        <w:rPr>
          <w:rFonts w:ascii="宋体" w:hAnsi="宋体" w:cs="宋体"/>
          <w:sz w:val="28"/>
          <w:szCs w:val="28"/>
        </w:rPr>
      </w:pPr>
      <w:r>
        <w:rPr>
          <w:rFonts w:hint="eastAsia" w:ascii="宋体" w:hAnsi="宋体" w:cs="宋体"/>
          <w:sz w:val="28"/>
          <w:szCs w:val="28"/>
        </w:rPr>
        <w:t>（7）对外观清理室、补漆室生产过程中产生的含漆废水、含有机溶剂废气、含漆废渣等均进行有效处理达标后排放。</w:t>
      </w:r>
    </w:p>
    <w:p>
      <w:pPr>
        <w:snapToGrid w:val="0"/>
        <w:spacing w:line="360" w:lineRule="auto"/>
        <w:ind w:firstLine="482"/>
        <w:rPr>
          <w:rFonts w:ascii="宋体" w:hAnsi="宋体" w:cs="宋体"/>
          <w:sz w:val="28"/>
          <w:szCs w:val="28"/>
        </w:rPr>
      </w:pPr>
      <w:r>
        <w:rPr>
          <w:rFonts w:hint="eastAsia" w:ascii="宋体" w:hAnsi="宋体" w:cs="宋体"/>
          <w:sz w:val="28"/>
          <w:szCs w:val="28"/>
        </w:rPr>
        <w:t>（8）主要工艺说明</w:t>
      </w:r>
    </w:p>
    <w:p>
      <w:pPr>
        <w:snapToGrid w:val="0"/>
        <w:spacing w:line="360" w:lineRule="auto"/>
        <w:ind w:firstLine="482"/>
        <w:rPr>
          <w:rFonts w:ascii="宋体" w:hAnsi="宋体" w:cs="宋体"/>
          <w:sz w:val="28"/>
          <w:szCs w:val="28"/>
        </w:rPr>
      </w:pPr>
      <w:r>
        <w:rPr>
          <w:rFonts w:hint="eastAsia" w:ascii="宋体" w:hAnsi="宋体" w:cs="宋体"/>
          <w:sz w:val="28"/>
          <w:szCs w:val="28"/>
        </w:rPr>
        <w:t>试车后整理→整机上悬链→一次放机油→装排气尾管外观清洗→补漆→二次放机油→装支架→装风扇→装电机→贴条码→加注新机油→转包装线。</w:t>
      </w:r>
    </w:p>
    <w:bookmarkEnd w:id="219"/>
    <w:bookmarkEnd w:id="220"/>
    <w:p>
      <w:pPr>
        <w:pStyle w:val="4"/>
        <w:keepNext w:val="0"/>
        <w:keepLines w:val="0"/>
        <w:snapToGrid w:val="0"/>
        <w:spacing w:before="0" w:after="0" w:line="360" w:lineRule="auto"/>
        <w:jc w:val="left"/>
        <w:rPr>
          <w:rFonts w:ascii="宋体" w:hAnsi="宋体" w:cs="宋体"/>
          <w:snapToGrid/>
          <w:kern w:val="2"/>
        </w:rPr>
      </w:pPr>
      <w:bookmarkStart w:id="221" w:name="_Toc2413"/>
      <w:r>
        <w:rPr>
          <w:rFonts w:hint="eastAsia" w:ascii="宋体" w:hAnsi="宋体" w:cs="宋体"/>
          <w:snapToGrid/>
          <w:kern w:val="2"/>
        </w:rPr>
        <w:t>2.8</w:t>
      </w:r>
      <w:r>
        <w:rPr>
          <w:rFonts w:hint="eastAsia" w:ascii="宋体" w:hAnsi="宋体" w:cs="宋体"/>
          <w:snapToGrid/>
          <w:kern w:val="2"/>
          <w:lang w:val="en-US" w:eastAsia="zh-CN"/>
        </w:rPr>
        <w:t xml:space="preserve"> </w:t>
      </w:r>
      <w:r>
        <w:rPr>
          <w:rFonts w:hint="eastAsia" w:ascii="宋体" w:hAnsi="宋体" w:cs="宋体"/>
          <w:snapToGrid/>
          <w:kern w:val="2"/>
        </w:rPr>
        <w:t>主要设备</w:t>
      </w:r>
      <w:bookmarkEnd w:id="216"/>
      <w:r>
        <w:rPr>
          <w:rFonts w:hint="eastAsia" w:ascii="宋体" w:hAnsi="宋体" w:cs="宋体"/>
          <w:snapToGrid/>
          <w:kern w:val="2"/>
        </w:rPr>
        <w:t>、设施</w:t>
      </w:r>
      <w:bookmarkEnd w:id="217"/>
      <w:bookmarkEnd w:id="218"/>
      <w:bookmarkEnd w:id="221"/>
    </w:p>
    <w:p>
      <w:pPr>
        <w:pStyle w:val="5"/>
        <w:keepNext w:val="0"/>
        <w:keepLines w:val="0"/>
        <w:snapToGrid w:val="0"/>
        <w:spacing w:before="0" w:after="0" w:line="360" w:lineRule="auto"/>
        <w:jc w:val="left"/>
        <w:rPr>
          <w:rFonts w:ascii="宋体" w:hAnsi="宋体" w:cs="宋体"/>
          <w:sz w:val="28"/>
          <w:szCs w:val="28"/>
        </w:rPr>
      </w:pPr>
      <w:bookmarkStart w:id="222" w:name="_Toc15966"/>
      <w:bookmarkStart w:id="223" w:name="_Toc5207"/>
      <w:bookmarkStart w:id="224" w:name="_Toc516400707"/>
      <w:r>
        <w:rPr>
          <w:rFonts w:hint="eastAsia" w:ascii="宋体" w:hAnsi="宋体" w:cs="宋体"/>
          <w:sz w:val="28"/>
          <w:szCs w:val="28"/>
        </w:rPr>
        <w:t>2.8.1主要生产设备设施</w:t>
      </w:r>
      <w:bookmarkEnd w:id="222"/>
      <w:bookmarkEnd w:id="223"/>
      <w:bookmarkEnd w:id="224"/>
    </w:p>
    <w:p>
      <w:pPr>
        <w:spacing w:line="500" w:lineRule="exact"/>
        <w:ind w:firstLine="482"/>
        <w:jc w:val="center"/>
        <w:rPr>
          <w:rFonts w:ascii="宋体" w:hAnsi="宋体" w:cs="宋体"/>
          <w:sz w:val="24"/>
        </w:rPr>
      </w:pPr>
      <w:r>
        <w:rPr>
          <w:rFonts w:hint="eastAsia" w:ascii="宋体" w:hAnsi="宋体" w:cs="宋体"/>
          <w:sz w:val="24"/>
        </w:rPr>
        <w:t xml:space="preserve">表2-12 </w:t>
      </w:r>
      <w:r>
        <w:rPr>
          <w:rFonts w:hint="eastAsia"/>
          <w:kern w:val="0"/>
          <w:sz w:val="24"/>
        </w:rPr>
        <w:t>G系列汽油机缸体设备明细表</w:t>
      </w:r>
    </w:p>
    <w:tbl>
      <w:tblPr>
        <w:tblStyle w:val="52"/>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3944"/>
        <w:gridCol w:w="884"/>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875" w:type="dxa"/>
            <w:vMerge w:val="restart"/>
            <w:noWrap/>
            <w:vAlign w:val="center"/>
          </w:tcPr>
          <w:p>
            <w:pPr>
              <w:snapToGrid w:val="0"/>
              <w:jc w:val="center"/>
              <w:rPr>
                <w:b/>
                <w:bCs/>
                <w:kern w:val="0"/>
                <w:szCs w:val="21"/>
              </w:rPr>
            </w:pPr>
            <w:r>
              <w:rPr>
                <w:b/>
                <w:bCs/>
                <w:kern w:val="0"/>
                <w:szCs w:val="21"/>
              </w:rPr>
              <w:t>序号</w:t>
            </w:r>
          </w:p>
        </w:tc>
        <w:tc>
          <w:tcPr>
            <w:tcW w:w="3944" w:type="dxa"/>
            <w:vMerge w:val="restart"/>
            <w:noWrap/>
            <w:vAlign w:val="center"/>
          </w:tcPr>
          <w:p>
            <w:pPr>
              <w:snapToGrid w:val="0"/>
              <w:jc w:val="center"/>
              <w:rPr>
                <w:b/>
                <w:bCs/>
                <w:kern w:val="0"/>
                <w:szCs w:val="21"/>
              </w:rPr>
            </w:pPr>
            <w:r>
              <w:rPr>
                <w:b/>
                <w:bCs/>
                <w:kern w:val="0"/>
                <w:szCs w:val="21"/>
              </w:rPr>
              <w:t>设备名称及型号</w:t>
            </w:r>
          </w:p>
        </w:tc>
        <w:tc>
          <w:tcPr>
            <w:tcW w:w="884" w:type="dxa"/>
            <w:vMerge w:val="restart"/>
            <w:noWrap/>
            <w:vAlign w:val="center"/>
          </w:tcPr>
          <w:p>
            <w:pPr>
              <w:snapToGrid w:val="0"/>
              <w:jc w:val="center"/>
              <w:rPr>
                <w:b/>
                <w:bCs/>
                <w:kern w:val="0"/>
                <w:szCs w:val="21"/>
              </w:rPr>
            </w:pPr>
            <w:r>
              <w:rPr>
                <w:b/>
                <w:bCs/>
                <w:kern w:val="0"/>
                <w:szCs w:val="21"/>
              </w:rPr>
              <w:t>数量</w:t>
            </w:r>
          </w:p>
        </w:tc>
        <w:tc>
          <w:tcPr>
            <w:tcW w:w="3456" w:type="dxa"/>
            <w:vMerge w:val="restart"/>
            <w:noWrap/>
            <w:vAlign w:val="center"/>
          </w:tcPr>
          <w:p>
            <w:pPr>
              <w:snapToGrid w:val="0"/>
              <w:jc w:val="center"/>
              <w:rPr>
                <w:b/>
                <w:bCs/>
                <w:kern w:val="0"/>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5" w:type="dxa"/>
            <w:vMerge w:val="continue"/>
            <w:noWrap/>
            <w:vAlign w:val="center"/>
          </w:tcPr>
          <w:p>
            <w:pPr>
              <w:snapToGrid w:val="0"/>
              <w:jc w:val="center"/>
              <w:rPr>
                <w:b/>
                <w:bCs/>
                <w:kern w:val="0"/>
                <w:szCs w:val="21"/>
              </w:rPr>
            </w:pPr>
          </w:p>
        </w:tc>
        <w:tc>
          <w:tcPr>
            <w:tcW w:w="3944" w:type="dxa"/>
            <w:vMerge w:val="continue"/>
            <w:noWrap/>
            <w:vAlign w:val="center"/>
          </w:tcPr>
          <w:p>
            <w:pPr>
              <w:snapToGrid w:val="0"/>
              <w:jc w:val="center"/>
              <w:rPr>
                <w:b/>
                <w:bCs/>
                <w:kern w:val="0"/>
                <w:szCs w:val="21"/>
              </w:rPr>
            </w:pPr>
          </w:p>
        </w:tc>
        <w:tc>
          <w:tcPr>
            <w:tcW w:w="884" w:type="dxa"/>
            <w:vMerge w:val="continue"/>
            <w:noWrap/>
            <w:vAlign w:val="center"/>
          </w:tcPr>
          <w:p>
            <w:pPr>
              <w:snapToGrid w:val="0"/>
              <w:jc w:val="center"/>
              <w:rPr>
                <w:b/>
                <w:bCs/>
                <w:kern w:val="0"/>
                <w:szCs w:val="21"/>
              </w:rPr>
            </w:pPr>
          </w:p>
        </w:tc>
        <w:tc>
          <w:tcPr>
            <w:tcW w:w="3456" w:type="dxa"/>
            <w:vMerge w:val="continue"/>
            <w:noWrap/>
            <w:vAlign w:val="center"/>
          </w:tcPr>
          <w:p>
            <w:pPr>
              <w:snapToGrid w:val="0"/>
              <w:jc w:val="center"/>
              <w:rPr>
                <w:b/>
                <w:bCs/>
                <w:kern w:val="0"/>
                <w:szCs w:val="21"/>
              </w:rPr>
            </w:pPr>
          </w:p>
        </w:tc>
      </w:tr>
      <w:tr>
        <w:tblPrEx>
          <w:tblCellMar>
            <w:top w:w="0" w:type="dxa"/>
            <w:left w:w="108" w:type="dxa"/>
            <w:bottom w:w="0" w:type="dxa"/>
            <w:right w:w="108" w:type="dxa"/>
          </w:tblCellMar>
        </w:tblPrEx>
        <w:trPr>
          <w:trHeight w:val="90" w:hRule="atLeast"/>
          <w:jc w:val="center"/>
        </w:trPr>
        <w:tc>
          <w:tcPr>
            <w:tcW w:w="875" w:type="dxa"/>
            <w:noWrap/>
            <w:vAlign w:val="center"/>
          </w:tcPr>
          <w:p>
            <w:pPr>
              <w:snapToGrid w:val="0"/>
              <w:jc w:val="center"/>
              <w:rPr>
                <w:bCs/>
                <w:kern w:val="0"/>
                <w:szCs w:val="21"/>
              </w:rPr>
            </w:pPr>
            <w:r>
              <w:rPr>
                <w:bCs/>
                <w:kern w:val="0"/>
                <w:szCs w:val="21"/>
              </w:rPr>
              <w:t>1</w:t>
            </w:r>
          </w:p>
        </w:tc>
        <w:tc>
          <w:tcPr>
            <w:tcW w:w="3944" w:type="dxa"/>
            <w:noWrap/>
            <w:vAlign w:val="center"/>
          </w:tcPr>
          <w:p>
            <w:pPr>
              <w:snapToGrid w:val="0"/>
              <w:rPr>
                <w:kern w:val="0"/>
                <w:szCs w:val="21"/>
              </w:rPr>
            </w:pPr>
            <w:r>
              <w:rPr>
                <w:szCs w:val="21"/>
              </w:rPr>
              <w:t>激光打标机</w:t>
            </w:r>
          </w:p>
        </w:tc>
        <w:tc>
          <w:tcPr>
            <w:tcW w:w="884" w:type="dxa"/>
            <w:noWrap/>
            <w:vAlign w:val="center"/>
          </w:tcPr>
          <w:p>
            <w:pPr>
              <w:snapToGrid w:val="0"/>
              <w:jc w:val="center"/>
              <w:rPr>
                <w:szCs w:val="21"/>
              </w:rPr>
            </w:pPr>
            <w:r>
              <w:rPr>
                <w:szCs w:val="21"/>
              </w:rPr>
              <w:t>2</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75" w:type="dxa"/>
            <w:noWrap/>
            <w:vAlign w:val="center"/>
          </w:tcPr>
          <w:p>
            <w:pPr>
              <w:snapToGrid w:val="0"/>
              <w:jc w:val="center"/>
              <w:rPr>
                <w:bCs/>
                <w:kern w:val="0"/>
                <w:szCs w:val="21"/>
              </w:rPr>
            </w:pPr>
            <w:r>
              <w:rPr>
                <w:bCs/>
                <w:kern w:val="0"/>
                <w:szCs w:val="21"/>
              </w:rPr>
              <w:t>2</w:t>
            </w:r>
          </w:p>
        </w:tc>
        <w:tc>
          <w:tcPr>
            <w:tcW w:w="3944" w:type="dxa"/>
            <w:noWrap/>
            <w:vAlign w:val="center"/>
          </w:tcPr>
          <w:p>
            <w:pPr>
              <w:snapToGrid w:val="0"/>
              <w:rPr>
                <w:szCs w:val="21"/>
              </w:rPr>
            </w:pPr>
            <w:r>
              <w:rPr>
                <w:szCs w:val="21"/>
              </w:rPr>
              <w:t>加工中心</w:t>
            </w:r>
          </w:p>
        </w:tc>
        <w:tc>
          <w:tcPr>
            <w:tcW w:w="884" w:type="dxa"/>
            <w:noWrap/>
            <w:vAlign w:val="center"/>
          </w:tcPr>
          <w:p>
            <w:pPr>
              <w:snapToGrid w:val="0"/>
              <w:jc w:val="center"/>
              <w:rPr>
                <w:szCs w:val="21"/>
              </w:rPr>
            </w:pPr>
            <w:r>
              <w:rPr>
                <w:szCs w:val="21"/>
              </w:rPr>
              <w:t>18</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75" w:type="dxa"/>
            <w:noWrap/>
            <w:vAlign w:val="center"/>
          </w:tcPr>
          <w:p>
            <w:pPr>
              <w:snapToGrid w:val="0"/>
              <w:jc w:val="center"/>
              <w:rPr>
                <w:bCs/>
                <w:kern w:val="0"/>
                <w:szCs w:val="21"/>
              </w:rPr>
            </w:pPr>
            <w:r>
              <w:rPr>
                <w:bCs/>
                <w:kern w:val="0"/>
                <w:szCs w:val="21"/>
              </w:rPr>
              <w:t>3</w:t>
            </w:r>
          </w:p>
        </w:tc>
        <w:tc>
          <w:tcPr>
            <w:tcW w:w="3944" w:type="dxa"/>
            <w:noWrap/>
            <w:vAlign w:val="center"/>
          </w:tcPr>
          <w:p>
            <w:pPr>
              <w:snapToGrid w:val="0"/>
              <w:rPr>
                <w:szCs w:val="21"/>
              </w:rPr>
            </w:pPr>
            <w:r>
              <w:rPr>
                <w:szCs w:val="21"/>
              </w:rPr>
              <w:t>加工中心用液压夹具及辊道</w:t>
            </w:r>
          </w:p>
        </w:tc>
        <w:tc>
          <w:tcPr>
            <w:tcW w:w="884" w:type="dxa"/>
            <w:noWrap/>
            <w:vAlign w:val="center"/>
          </w:tcPr>
          <w:p>
            <w:pPr>
              <w:snapToGrid w:val="0"/>
              <w:jc w:val="center"/>
              <w:rPr>
                <w:szCs w:val="21"/>
              </w:rPr>
            </w:pPr>
            <w:r>
              <w:rPr>
                <w:szCs w:val="21"/>
              </w:rPr>
              <w:t>18</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5" w:type="dxa"/>
            <w:noWrap/>
            <w:vAlign w:val="center"/>
          </w:tcPr>
          <w:p>
            <w:pPr>
              <w:snapToGrid w:val="0"/>
              <w:jc w:val="center"/>
              <w:rPr>
                <w:bCs/>
                <w:kern w:val="0"/>
                <w:szCs w:val="21"/>
              </w:rPr>
            </w:pPr>
            <w:r>
              <w:rPr>
                <w:bCs/>
                <w:kern w:val="0"/>
                <w:szCs w:val="21"/>
              </w:rPr>
              <w:t>4</w:t>
            </w:r>
          </w:p>
        </w:tc>
        <w:tc>
          <w:tcPr>
            <w:tcW w:w="3944" w:type="dxa"/>
            <w:noWrap/>
            <w:vAlign w:val="center"/>
          </w:tcPr>
          <w:p>
            <w:pPr>
              <w:snapToGrid w:val="0"/>
              <w:rPr>
                <w:szCs w:val="21"/>
              </w:rPr>
            </w:pPr>
            <w:r>
              <w:rPr>
                <w:szCs w:val="21"/>
              </w:rPr>
              <w:t>OP120、OP180序机器人上下料系统</w:t>
            </w:r>
          </w:p>
        </w:tc>
        <w:tc>
          <w:tcPr>
            <w:tcW w:w="884" w:type="dxa"/>
            <w:noWrap/>
            <w:vAlign w:val="center"/>
          </w:tcPr>
          <w:p>
            <w:pPr>
              <w:snapToGrid w:val="0"/>
              <w:jc w:val="center"/>
              <w:rPr>
                <w:szCs w:val="21"/>
              </w:rPr>
            </w:pPr>
            <w:r>
              <w:rPr>
                <w:szCs w:val="21"/>
              </w:rPr>
              <w:t>2</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5" w:type="dxa"/>
            <w:noWrap/>
            <w:vAlign w:val="center"/>
          </w:tcPr>
          <w:p>
            <w:pPr>
              <w:snapToGrid w:val="0"/>
              <w:jc w:val="center"/>
              <w:rPr>
                <w:bCs/>
                <w:kern w:val="0"/>
                <w:szCs w:val="21"/>
              </w:rPr>
            </w:pPr>
            <w:r>
              <w:rPr>
                <w:bCs/>
                <w:kern w:val="0"/>
                <w:szCs w:val="21"/>
              </w:rPr>
              <w:t>5</w:t>
            </w:r>
          </w:p>
        </w:tc>
        <w:tc>
          <w:tcPr>
            <w:tcW w:w="3944" w:type="dxa"/>
            <w:noWrap/>
            <w:vAlign w:val="center"/>
          </w:tcPr>
          <w:p>
            <w:pPr>
              <w:snapToGrid w:val="0"/>
              <w:rPr>
                <w:szCs w:val="21"/>
              </w:rPr>
            </w:pPr>
            <w:r>
              <w:rPr>
                <w:szCs w:val="21"/>
              </w:rPr>
              <w:t>加工中心用刀具</w:t>
            </w:r>
          </w:p>
        </w:tc>
        <w:tc>
          <w:tcPr>
            <w:tcW w:w="884" w:type="dxa"/>
            <w:noWrap/>
            <w:vAlign w:val="center"/>
          </w:tcPr>
          <w:p>
            <w:pPr>
              <w:snapToGrid w:val="0"/>
              <w:jc w:val="center"/>
              <w:rPr>
                <w:szCs w:val="21"/>
              </w:rPr>
            </w:pPr>
            <w:r>
              <w:rPr>
                <w:szCs w:val="21"/>
              </w:rPr>
              <w:t>3</w:t>
            </w:r>
          </w:p>
        </w:tc>
        <w:tc>
          <w:tcPr>
            <w:tcW w:w="3456" w:type="dxa"/>
            <w:noWrap/>
            <w:vAlign w:val="center"/>
          </w:tcPr>
          <w:p>
            <w:pPr>
              <w:snapToGrid w:val="0"/>
              <w:rPr>
                <w:kern w:val="0"/>
                <w:szCs w:val="21"/>
              </w:rPr>
            </w:pPr>
            <w:r>
              <w:rPr>
                <w:kern w:val="0"/>
                <w:szCs w:val="21"/>
              </w:rPr>
              <w:t>每工序备用1套刀具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5" w:type="dxa"/>
            <w:noWrap/>
            <w:vAlign w:val="center"/>
          </w:tcPr>
          <w:p>
            <w:pPr>
              <w:snapToGrid w:val="0"/>
              <w:jc w:val="center"/>
              <w:rPr>
                <w:bCs/>
                <w:kern w:val="0"/>
                <w:szCs w:val="21"/>
              </w:rPr>
            </w:pPr>
            <w:r>
              <w:rPr>
                <w:bCs/>
                <w:kern w:val="0"/>
                <w:szCs w:val="21"/>
              </w:rPr>
              <w:t>6</w:t>
            </w:r>
          </w:p>
        </w:tc>
        <w:tc>
          <w:tcPr>
            <w:tcW w:w="3944" w:type="dxa"/>
            <w:noWrap/>
            <w:vAlign w:val="center"/>
          </w:tcPr>
          <w:p>
            <w:pPr>
              <w:snapToGrid w:val="0"/>
              <w:rPr>
                <w:szCs w:val="21"/>
              </w:rPr>
            </w:pPr>
            <w:r>
              <w:rPr>
                <w:szCs w:val="21"/>
              </w:rPr>
              <w:t>机器人修毛刺系统</w:t>
            </w:r>
          </w:p>
        </w:tc>
        <w:tc>
          <w:tcPr>
            <w:tcW w:w="884" w:type="dxa"/>
            <w:noWrap/>
            <w:vAlign w:val="center"/>
          </w:tcPr>
          <w:p>
            <w:pPr>
              <w:snapToGrid w:val="0"/>
              <w:jc w:val="center"/>
              <w:rPr>
                <w:szCs w:val="21"/>
              </w:rPr>
            </w:pPr>
            <w:r>
              <w:rPr>
                <w:szCs w:val="21"/>
              </w:rPr>
              <w:t>2</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5" w:type="dxa"/>
            <w:noWrap/>
            <w:vAlign w:val="center"/>
          </w:tcPr>
          <w:p>
            <w:pPr>
              <w:snapToGrid w:val="0"/>
              <w:jc w:val="center"/>
              <w:rPr>
                <w:bCs/>
                <w:kern w:val="0"/>
                <w:szCs w:val="21"/>
              </w:rPr>
            </w:pPr>
            <w:r>
              <w:rPr>
                <w:bCs/>
                <w:kern w:val="0"/>
                <w:szCs w:val="21"/>
              </w:rPr>
              <w:t>7</w:t>
            </w:r>
          </w:p>
        </w:tc>
        <w:tc>
          <w:tcPr>
            <w:tcW w:w="3944" w:type="dxa"/>
            <w:noWrap/>
            <w:vAlign w:val="center"/>
          </w:tcPr>
          <w:p>
            <w:pPr>
              <w:snapToGrid w:val="0"/>
              <w:rPr>
                <w:szCs w:val="21"/>
              </w:rPr>
            </w:pPr>
            <w:r>
              <w:rPr>
                <w:szCs w:val="21"/>
              </w:rPr>
              <w:t>中间清洗机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5" w:type="dxa"/>
            <w:noWrap/>
            <w:vAlign w:val="center"/>
          </w:tcPr>
          <w:p>
            <w:pPr>
              <w:snapToGrid w:val="0"/>
              <w:jc w:val="center"/>
              <w:rPr>
                <w:bCs/>
                <w:kern w:val="0"/>
                <w:szCs w:val="21"/>
              </w:rPr>
            </w:pPr>
            <w:r>
              <w:rPr>
                <w:bCs/>
                <w:kern w:val="0"/>
                <w:szCs w:val="21"/>
              </w:rPr>
              <w:t>8</w:t>
            </w:r>
          </w:p>
        </w:tc>
        <w:tc>
          <w:tcPr>
            <w:tcW w:w="3944" w:type="dxa"/>
            <w:noWrap/>
            <w:vAlign w:val="center"/>
          </w:tcPr>
          <w:p>
            <w:pPr>
              <w:snapToGrid w:val="0"/>
              <w:rPr>
                <w:szCs w:val="21"/>
              </w:rPr>
            </w:pPr>
            <w:r>
              <w:rPr>
                <w:szCs w:val="21"/>
              </w:rPr>
              <w:t>中间试漏机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75" w:type="dxa"/>
            <w:noWrap/>
            <w:vAlign w:val="center"/>
          </w:tcPr>
          <w:p>
            <w:pPr>
              <w:snapToGrid w:val="0"/>
              <w:jc w:val="center"/>
              <w:rPr>
                <w:bCs/>
                <w:kern w:val="0"/>
                <w:szCs w:val="21"/>
              </w:rPr>
            </w:pPr>
            <w:r>
              <w:rPr>
                <w:bCs/>
                <w:kern w:val="0"/>
                <w:szCs w:val="21"/>
              </w:rPr>
              <w:t>9</w:t>
            </w:r>
          </w:p>
        </w:tc>
        <w:tc>
          <w:tcPr>
            <w:tcW w:w="3944" w:type="dxa"/>
            <w:noWrap/>
            <w:vAlign w:val="center"/>
          </w:tcPr>
          <w:p>
            <w:pPr>
              <w:snapToGrid w:val="0"/>
              <w:rPr>
                <w:szCs w:val="21"/>
              </w:rPr>
            </w:pPr>
            <w:r>
              <w:rPr>
                <w:szCs w:val="21"/>
              </w:rPr>
              <w:t>人工装盖自动拧紧机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含模拟缸盖人工装配及自动拧紧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5" w:type="dxa"/>
            <w:noWrap/>
            <w:vAlign w:val="center"/>
          </w:tcPr>
          <w:p>
            <w:pPr>
              <w:snapToGrid w:val="0"/>
              <w:jc w:val="center"/>
              <w:rPr>
                <w:bCs/>
                <w:kern w:val="0"/>
                <w:szCs w:val="21"/>
              </w:rPr>
            </w:pPr>
            <w:r>
              <w:rPr>
                <w:bCs/>
                <w:kern w:val="0"/>
                <w:szCs w:val="21"/>
              </w:rPr>
              <w:t>10</w:t>
            </w:r>
          </w:p>
        </w:tc>
        <w:tc>
          <w:tcPr>
            <w:tcW w:w="3944" w:type="dxa"/>
            <w:noWrap/>
            <w:vAlign w:val="center"/>
          </w:tcPr>
          <w:p>
            <w:pPr>
              <w:snapToGrid w:val="0"/>
              <w:rPr>
                <w:szCs w:val="21"/>
              </w:rPr>
            </w:pPr>
            <w:r>
              <w:rPr>
                <w:szCs w:val="21"/>
              </w:rPr>
              <w:t>曲轴孔精镗专机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5" w:type="dxa"/>
            <w:noWrap/>
            <w:vAlign w:val="center"/>
          </w:tcPr>
          <w:p>
            <w:pPr>
              <w:snapToGrid w:val="0"/>
              <w:jc w:val="center"/>
              <w:rPr>
                <w:bCs/>
                <w:kern w:val="0"/>
                <w:szCs w:val="21"/>
              </w:rPr>
            </w:pPr>
            <w:r>
              <w:rPr>
                <w:bCs/>
                <w:kern w:val="0"/>
                <w:szCs w:val="21"/>
              </w:rPr>
              <w:t>11</w:t>
            </w:r>
          </w:p>
        </w:tc>
        <w:tc>
          <w:tcPr>
            <w:tcW w:w="3944" w:type="dxa"/>
            <w:noWrap/>
            <w:vAlign w:val="center"/>
          </w:tcPr>
          <w:p>
            <w:pPr>
              <w:snapToGrid w:val="0"/>
              <w:rPr>
                <w:szCs w:val="21"/>
              </w:rPr>
            </w:pPr>
            <w:r>
              <w:rPr>
                <w:szCs w:val="21"/>
              </w:rPr>
              <w:t>铣开档专机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75" w:type="dxa"/>
            <w:noWrap/>
            <w:vAlign w:val="center"/>
          </w:tcPr>
          <w:p>
            <w:pPr>
              <w:snapToGrid w:val="0"/>
              <w:jc w:val="center"/>
              <w:rPr>
                <w:bCs/>
                <w:kern w:val="0"/>
                <w:szCs w:val="21"/>
              </w:rPr>
            </w:pPr>
            <w:r>
              <w:rPr>
                <w:bCs/>
                <w:kern w:val="0"/>
                <w:szCs w:val="21"/>
              </w:rPr>
              <w:t>12</w:t>
            </w:r>
          </w:p>
        </w:tc>
        <w:tc>
          <w:tcPr>
            <w:tcW w:w="3944" w:type="dxa"/>
            <w:noWrap/>
            <w:vAlign w:val="center"/>
          </w:tcPr>
          <w:p>
            <w:pPr>
              <w:snapToGrid w:val="0"/>
              <w:rPr>
                <w:szCs w:val="21"/>
              </w:rPr>
            </w:pPr>
            <w:r>
              <w:rPr>
                <w:szCs w:val="21"/>
              </w:rPr>
              <w:t>珩磨前工位清洗机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75" w:type="dxa"/>
            <w:noWrap/>
            <w:vAlign w:val="center"/>
          </w:tcPr>
          <w:p>
            <w:pPr>
              <w:snapToGrid w:val="0"/>
              <w:jc w:val="center"/>
              <w:rPr>
                <w:bCs/>
                <w:kern w:val="0"/>
                <w:szCs w:val="21"/>
              </w:rPr>
            </w:pPr>
            <w:r>
              <w:rPr>
                <w:bCs/>
                <w:kern w:val="0"/>
                <w:szCs w:val="21"/>
              </w:rPr>
              <w:t>13</w:t>
            </w:r>
          </w:p>
        </w:tc>
        <w:tc>
          <w:tcPr>
            <w:tcW w:w="3944" w:type="dxa"/>
            <w:noWrap/>
            <w:vAlign w:val="center"/>
          </w:tcPr>
          <w:p>
            <w:pPr>
              <w:snapToGrid w:val="0"/>
              <w:rPr>
                <w:szCs w:val="21"/>
              </w:rPr>
            </w:pPr>
            <w:r>
              <w:rPr>
                <w:szCs w:val="21"/>
              </w:rPr>
              <w:t>缸孔珩磨机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75" w:type="dxa"/>
            <w:noWrap/>
            <w:vAlign w:val="center"/>
          </w:tcPr>
          <w:p>
            <w:pPr>
              <w:snapToGrid w:val="0"/>
              <w:jc w:val="center"/>
              <w:rPr>
                <w:bCs/>
                <w:kern w:val="0"/>
                <w:szCs w:val="21"/>
              </w:rPr>
            </w:pPr>
            <w:r>
              <w:rPr>
                <w:bCs/>
                <w:kern w:val="0"/>
                <w:szCs w:val="21"/>
              </w:rPr>
              <w:t>14</w:t>
            </w:r>
          </w:p>
        </w:tc>
        <w:tc>
          <w:tcPr>
            <w:tcW w:w="3944" w:type="dxa"/>
            <w:noWrap/>
            <w:vAlign w:val="center"/>
          </w:tcPr>
          <w:p>
            <w:pPr>
              <w:snapToGrid w:val="0"/>
              <w:rPr>
                <w:szCs w:val="21"/>
              </w:rPr>
            </w:pPr>
            <w:r>
              <w:rPr>
                <w:szCs w:val="21"/>
              </w:rPr>
              <w:t>曲轴孔珩磨机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75" w:type="dxa"/>
            <w:noWrap/>
            <w:vAlign w:val="center"/>
          </w:tcPr>
          <w:p>
            <w:pPr>
              <w:snapToGrid w:val="0"/>
              <w:jc w:val="center"/>
              <w:rPr>
                <w:bCs/>
                <w:kern w:val="0"/>
                <w:szCs w:val="21"/>
              </w:rPr>
            </w:pPr>
            <w:r>
              <w:rPr>
                <w:bCs/>
                <w:kern w:val="0"/>
                <w:szCs w:val="21"/>
              </w:rPr>
              <w:t>15</w:t>
            </w:r>
          </w:p>
        </w:tc>
        <w:tc>
          <w:tcPr>
            <w:tcW w:w="3944" w:type="dxa"/>
            <w:noWrap/>
            <w:vAlign w:val="center"/>
          </w:tcPr>
          <w:p>
            <w:pPr>
              <w:snapToGrid w:val="0"/>
              <w:rPr>
                <w:szCs w:val="21"/>
              </w:rPr>
            </w:pPr>
            <w:r>
              <w:rPr>
                <w:szCs w:val="21"/>
              </w:rPr>
              <w:t>模拟缸盖人工拆卸机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75" w:type="dxa"/>
            <w:noWrap/>
            <w:vAlign w:val="center"/>
          </w:tcPr>
          <w:p>
            <w:pPr>
              <w:snapToGrid w:val="0"/>
              <w:jc w:val="center"/>
              <w:rPr>
                <w:bCs/>
                <w:kern w:val="0"/>
                <w:szCs w:val="21"/>
              </w:rPr>
            </w:pPr>
            <w:r>
              <w:rPr>
                <w:bCs/>
                <w:kern w:val="0"/>
                <w:szCs w:val="21"/>
              </w:rPr>
              <w:t>16</w:t>
            </w:r>
          </w:p>
        </w:tc>
        <w:tc>
          <w:tcPr>
            <w:tcW w:w="3944" w:type="dxa"/>
            <w:noWrap/>
            <w:vAlign w:val="center"/>
          </w:tcPr>
          <w:p>
            <w:pPr>
              <w:snapToGrid w:val="0"/>
              <w:rPr>
                <w:szCs w:val="21"/>
              </w:rPr>
            </w:pPr>
            <w:r>
              <w:rPr>
                <w:szCs w:val="21"/>
              </w:rPr>
              <w:t>模拟缸盖工位清洗机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5" w:type="dxa"/>
            <w:noWrap/>
            <w:vAlign w:val="center"/>
          </w:tcPr>
          <w:p>
            <w:pPr>
              <w:snapToGrid w:val="0"/>
              <w:jc w:val="center"/>
              <w:rPr>
                <w:bCs/>
                <w:kern w:val="0"/>
                <w:szCs w:val="21"/>
              </w:rPr>
            </w:pPr>
            <w:r>
              <w:rPr>
                <w:bCs/>
                <w:kern w:val="0"/>
                <w:szCs w:val="21"/>
              </w:rPr>
              <w:t>17</w:t>
            </w:r>
          </w:p>
        </w:tc>
        <w:tc>
          <w:tcPr>
            <w:tcW w:w="3944" w:type="dxa"/>
            <w:noWrap/>
            <w:vAlign w:val="center"/>
          </w:tcPr>
          <w:p>
            <w:pPr>
              <w:snapToGrid w:val="0"/>
              <w:rPr>
                <w:szCs w:val="21"/>
              </w:rPr>
            </w:pPr>
            <w:r>
              <w:rPr>
                <w:szCs w:val="21"/>
              </w:rPr>
              <w:t>最终清洗机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75" w:type="dxa"/>
            <w:noWrap/>
            <w:vAlign w:val="center"/>
          </w:tcPr>
          <w:p>
            <w:pPr>
              <w:snapToGrid w:val="0"/>
              <w:jc w:val="center"/>
              <w:rPr>
                <w:bCs/>
                <w:kern w:val="0"/>
                <w:szCs w:val="21"/>
              </w:rPr>
            </w:pPr>
            <w:r>
              <w:rPr>
                <w:bCs/>
                <w:kern w:val="0"/>
                <w:szCs w:val="21"/>
              </w:rPr>
              <w:t>18</w:t>
            </w:r>
          </w:p>
        </w:tc>
        <w:tc>
          <w:tcPr>
            <w:tcW w:w="3944" w:type="dxa"/>
            <w:noWrap/>
            <w:vAlign w:val="center"/>
          </w:tcPr>
          <w:p>
            <w:pPr>
              <w:snapToGrid w:val="0"/>
              <w:rPr>
                <w:szCs w:val="21"/>
              </w:rPr>
            </w:pPr>
            <w:r>
              <w:rPr>
                <w:szCs w:val="21"/>
              </w:rPr>
              <w:t>碗形塞压装机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75" w:type="dxa"/>
            <w:noWrap/>
            <w:vAlign w:val="center"/>
          </w:tcPr>
          <w:p>
            <w:pPr>
              <w:snapToGrid w:val="0"/>
              <w:jc w:val="center"/>
              <w:rPr>
                <w:bCs/>
                <w:kern w:val="0"/>
                <w:szCs w:val="21"/>
              </w:rPr>
            </w:pPr>
            <w:r>
              <w:rPr>
                <w:bCs/>
                <w:kern w:val="0"/>
                <w:szCs w:val="21"/>
              </w:rPr>
              <w:t>19</w:t>
            </w:r>
          </w:p>
        </w:tc>
        <w:tc>
          <w:tcPr>
            <w:tcW w:w="3944" w:type="dxa"/>
            <w:noWrap/>
            <w:vAlign w:val="center"/>
          </w:tcPr>
          <w:p>
            <w:pPr>
              <w:snapToGrid w:val="0"/>
              <w:rPr>
                <w:szCs w:val="21"/>
              </w:rPr>
            </w:pPr>
            <w:r>
              <w:rPr>
                <w:szCs w:val="21"/>
              </w:rPr>
              <w:t>最终试漏机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5" w:type="dxa"/>
            <w:noWrap/>
            <w:vAlign w:val="center"/>
          </w:tcPr>
          <w:p>
            <w:pPr>
              <w:snapToGrid w:val="0"/>
              <w:jc w:val="center"/>
              <w:rPr>
                <w:bCs/>
                <w:kern w:val="0"/>
                <w:szCs w:val="21"/>
              </w:rPr>
            </w:pPr>
            <w:r>
              <w:rPr>
                <w:bCs/>
                <w:kern w:val="0"/>
                <w:szCs w:val="21"/>
              </w:rPr>
              <w:t>20</w:t>
            </w:r>
          </w:p>
        </w:tc>
        <w:tc>
          <w:tcPr>
            <w:tcW w:w="3944" w:type="dxa"/>
            <w:noWrap/>
            <w:vAlign w:val="center"/>
          </w:tcPr>
          <w:p>
            <w:pPr>
              <w:snapToGrid w:val="0"/>
              <w:rPr>
                <w:szCs w:val="21"/>
              </w:rPr>
            </w:pPr>
            <w:r>
              <w:rPr>
                <w:szCs w:val="21"/>
              </w:rPr>
              <w:t>曲轴孔分组打标机</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p>
        </w:tc>
      </w:tr>
      <w:tr>
        <w:tblPrEx>
          <w:tblCellMar>
            <w:top w:w="0" w:type="dxa"/>
            <w:left w:w="108" w:type="dxa"/>
            <w:bottom w:w="0" w:type="dxa"/>
            <w:right w:w="108" w:type="dxa"/>
          </w:tblCellMar>
        </w:tblPrEx>
        <w:trPr>
          <w:trHeight w:val="421" w:hRule="atLeast"/>
          <w:jc w:val="center"/>
        </w:trPr>
        <w:tc>
          <w:tcPr>
            <w:tcW w:w="875" w:type="dxa"/>
            <w:noWrap/>
            <w:vAlign w:val="center"/>
          </w:tcPr>
          <w:p>
            <w:pPr>
              <w:snapToGrid w:val="0"/>
              <w:jc w:val="center"/>
              <w:rPr>
                <w:bCs/>
                <w:kern w:val="0"/>
                <w:szCs w:val="21"/>
              </w:rPr>
            </w:pPr>
            <w:r>
              <w:rPr>
                <w:bCs/>
                <w:kern w:val="0"/>
                <w:szCs w:val="21"/>
              </w:rPr>
              <w:t>21</w:t>
            </w:r>
          </w:p>
        </w:tc>
        <w:tc>
          <w:tcPr>
            <w:tcW w:w="3944" w:type="dxa"/>
            <w:noWrap/>
            <w:vAlign w:val="center"/>
          </w:tcPr>
          <w:p>
            <w:pPr>
              <w:snapToGrid w:val="0"/>
              <w:rPr>
                <w:szCs w:val="21"/>
              </w:rPr>
            </w:pPr>
            <w:r>
              <w:rPr>
                <w:szCs w:val="21"/>
              </w:rPr>
              <w:t>物流系统</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75" w:type="dxa"/>
            <w:noWrap/>
            <w:vAlign w:val="center"/>
          </w:tcPr>
          <w:p>
            <w:pPr>
              <w:snapToGrid w:val="0"/>
              <w:jc w:val="center"/>
              <w:rPr>
                <w:bCs/>
                <w:kern w:val="0"/>
                <w:szCs w:val="21"/>
              </w:rPr>
            </w:pPr>
            <w:r>
              <w:rPr>
                <w:bCs/>
                <w:kern w:val="0"/>
                <w:szCs w:val="21"/>
              </w:rPr>
              <w:t>22</w:t>
            </w:r>
          </w:p>
        </w:tc>
        <w:tc>
          <w:tcPr>
            <w:tcW w:w="3944" w:type="dxa"/>
            <w:noWrap/>
            <w:vAlign w:val="center"/>
          </w:tcPr>
          <w:p>
            <w:pPr>
              <w:snapToGrid w:val="0"/>
              <w:rPr>
                <w:szCs w:val="21"/>
              </w:rPr>
            </w:pPr>
            <w:r>
              <w:rPr>
                <w:szCs w:val="21"/>
              </w:rPr>
              <w:t>切削液集中处理装置</w:t>
            </w:r>
          </w:p>
        </w:tc>
        <w:tc>
          <w:tcPr>
            <w:tcW w:w="884" w:type="dxa"/>
            <w:noWrap/>
            <w:vAlign w:val="center"/>
          </w:tcPr>
          <w:p>
            <w:pPr>
              <w:snapToGrid w:val="0"/>
              <w:jc w:val="center"/>
              <w:rPr>
                <w:szCs w:val="21"/>
              </w:rPr>
            </w:pPr>
            <w:r>
              <w:rPr>
                <w:szCs w:val="21"/>
              </w:rPr>
              <w:t>1</w:t>
            </w:r>
          </w:p>
        </w:tc>
        <w:tc>
          <w:tcPr>
            <w:tcW w:w="3456" w:type="dxa"/>
            <w:noWrap/>
            <w:vAlign w:val="center"/>
          </w:tcPr>
          <w:p>
            <w:pPr>
              <w:snapToGrid w:val="0"/>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75" w:type="dxa"/>
            <w:noWrap/>
            <w:vAlign w:val="center"/>
          </w:tcPr>
          <w:p>
            <w:pPr>
              <w:snapToGrid w:val="0"/>
              <w:jc w:val="center"/>
              <w:rPr>
                <w:bCs/>
                <w:kern w:val="0"/>
                <w:szCs w:val="21"/>
              </w:rPr>
            </w:pPr>
            <w:r>
              <w:rPr>
                <w:bCs/>
                <w:kern w:val="0"/>
                <w:szCs w:val="21"/>
              </w:rPr>
              <w:t>23</w:t>
            </w:r>
          </w:p>
        </w:tc>
        <w:tc>
          <w:tcPr>
            <w:tcW w:w="3944" w:type="dxa"/>
            <w:noWrap/>
            <w:vAlign w:val="center"/>
          </w:tcPr>
          <w:p>
            <w:pPr>
              <w:snapToGrid w:val="0"/>
              <w:rPr>
                <w:szCs w:val="21"/>
              </w:rPr>
            </w:pPr>
            <w:r>
              <w:rPr>
                <w:szCs w:val="21"/>
              </w:rPr>
              <w:t>水雾处理系统</w:t>
            </w:r>
          </w:p>
        </w:tc>
        <w:tc>
          <w:tcPr>
            <w:tcW w:w="884" w:type="dxa"/>
            <w:noWrap/>
            <w:vAlign w:val="center"/>
          </w:tcPr>
          <w:p>
            <w:pPr>
              <w:snapToGrid w:val="0"/>
              <w:jc w:val="center"/>
              <w:rPr>
                <w:szCs w:val="21"/>
              </w:rPr>
            </w:pPr>
            <w:r>
              <w:rPr>
                <w:szCs w:val="21"/>
              </w:rPr>
              <w:t>2</w:t>
            </w:r>
          </w:p>
        </w:tc>
        <w:tc>
          <w:tcPr>
            <w:tcW w:w="3456" w:type="dxa"/>
            <w:noWrap/>
            <w:vAlign w:val="center"/>
          </w:tcPr>
          <w:p>
            <w:pPr>
              <w:snapToGrid w:val="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75" w:type="dxa"/>
            <w:noWrap/>
            <w:vAlign w:val="center"/>
          </w:tcPr>
          <w:p>
            <w:pPr>
              <w:snapToGrid w:val="0"/>
              <w:rPr>
                <w:b/>
                <w:bCs/>
                <w:kern w:val="0"/>
                <w:szCs w:val="21"/>
              </w:rPr>
            </w:pPr>
            <w:r>
              <w:rPr>
                <w:b/>
                <w:bCs/>
                <w:kern w:val="0"/>
                <w:szCs w:val="21"/>
              </w:rPr>
              <w:t>　</w:t>
            </w:r>
          </w:p>
        </w:tc>
        <w:tc>
          <w:tcPr>
            <w:tcW w:w="3944" w:type="dxa"/>
            <w:noWrap/>
            <w:vAlign w:val="center"/>
          </w:tcPr>
          <w:p>
            <w:pPr>
              <w:snapToGrid w:val="0"/>
              <w:ind w:firstLine="422"/>
              <w:rPr>
                <w:b/>
                <w:bCs/>
                <w:szCs w:val="21"/>
              </w:rPr>
            </w:pPr>
            <w:r>
              <w:rPr>
                <w:b/>
                <w:bCs/>
                <w:szCs w:val="21"/>
              </w:rPr>
              <w:t>小计</w:t>
            </w:r>
          </w:p>
        </w:tc>
        <w:tc>
          <w:tcPr>
            <w:tcW w:w="884" w:type="dxa"/>
            <w:noWrap/>
            <w:vAlign w:val="center"/>
          </w:tcPr>
          <w:p>
            <w:pPr>
              <w:snapToGrid w:val="0"/>
              <w:jc w:val="center"/>
              <w:rPr>
                <w:b/>
                <w:bCs/>
                <w:szCs w:val="21"/>
              </w:rPr>
            </w:pPr>
            <w:r>
              <w:rPr>
                <w:b/>
                <w:bCs/>
                <w:szCs w:val="21"/>
              </w:rPr>
              <w:t>63</w:t>
            </w:r>
          </w:p>
        </w:tc>
        <w:tc>
          <w:tcPr>
            <w:tcW w:w="3456" w:type="dxa"/>
            <w:noWrap/>
            <w:vAlign w:val="center"/>
          </w:tcPr>
          <w:p>
            <w:pPr>
              <w:snapToGrid w:val="0"/>
              <w:rPr>
                <w:kern w:val="0"/>
                <w:szCs w:val="21"/>
              </w:rPr>
            </w:pPr>
            <w:r>
              <w:rPr>
                <w:kern w:val="0"/>
                <w:szCs w:val="21"/>
              </w:rPr>
              <w:t>珩磨机采用国产设备预算</w:t>
            </w:r>
          </w:p>
        </w:tc>
      </w:tr>
    </w:tbl>
    <w:p>
      <w:pPr>
        <w:spacing w:line="500" w:lineRule="exact"/>
        <w:ind w:firstLine="482"/>
        <w:jc w:val="center"/>
        <w:rPr>
          <w:rFonts w:ascii="宋体" w:hAnsi="宋体" w:cs="宋体"/>
          <w:sz w:val="24"/>
        </w:rPr>
      </w:pPr>
      <w:r>
        <w:rPr>
          <w:rFonts w:hint="eastAsia" w:ascii="宋体" w:hAnsi="宋体" w:cs="宋体"/>
          <w:sz w:val="24"/>
        </w:rPr>
        <w:t>表2-13</w:t>
      </w:r>
      <w:r>
        <w:rPr>
          <w:rFonts w:hint="eastAsia"/>
          <w:kern w:val="0"/>
          <w:sz w:val="24"/>
        </w:rPr>
        <w:t>G系列汽油机缸盖设备明细表</w:t>
      </w:r>
    </w:p>
    <w:tbl>
      <w:tblPr>
        <w:tblStyle w:val="5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3289"/>
        <w:gridCol w:w="1015"/>
        <w:gridCol w:w="1149"/>
        <w:gridCol w:w="1477"/>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692" w:type="dxa"/>
            <w:vMerge w:val="restart"/>
            <w:noWrap/>
            <w:vAlign w:val="center"/>
          </w:tcPr>
          <w:p>
            <w:pPr>
              <w:jc w:val="center"/>
              <w:rPr>
                <w:rFonts w:ascii="宋体" w:hAnsi="宋体" w:cs="宋体"/>
                <w:b/>
                <w:bCs/>
                <w:color w:val="000000"/>
                <w:szCs w:val="21"/>
              </w:rPr>
            </w:pPr>
            <w:r>
              <w:rPr>
                <w:rFonts w:hint="eastAsia" w:ascii="宋体" w:hAnsi="宋体" w:cs="宋体"/>
                <w:b/>
                <w:bCs/>
                <w:color w:val="000000"/>
                <w:szCs w:val="21"/>
              </w:rPr>
              <w:t>序号</w:t>
            </w:r>
          </w:p>
        </w:tc>
        <w:tc>
          <w:tcPr>
            <w:tcW w:w="3289" w:type="dxa"/>
            <w:vMerge w:val="restart"/>
            <w:noWrap/>
            <w:vAlign w:val="center"/>
          </w:tcPr>
          <w:p>
            <w:pPr>
              <w:jc w:val="center"/>
              <w:rPr>
                <w:rFonts w:ascii="宋体" w:hAnsi="宋体" w:cs="宋体"/>
                <w:b/>
                <w:bCs/>
                <w:color w:val="000000"/>
                <w:szCs w:val="21"/>
              </w:rPr>
            </w:pPr>
            <w:r>
              <w:rPr>
                <w:rFonts w:hint="eastAsia" w:ascii="宋体" w:hAnsi="宋体" w:cs="宋体"/>
                <w:b/>
                <w:bCs/>
                <w:color w:val="000000"/>
                <w:szCs w:val="21"/>
              </w:rPr>
              <w:t>设备名称</w:t>
            </w:r>
          </w:p>
        </w:tc>
        <w:tc>
          <w:tcPr>
            <w:tcW w:w="1015" w:type="dxa"/>
            <w:vMerge w:val="restart"/>
            <w:noWrap/>
            <w:vAlign w:val="center"/>
          </w:tcPr>
          <w:p>
            <w:pPr>
              <w:jc w:val="center"/>
              <w:rPr>
                <w:rFonts w:ascii="宋体" w:hAnsi="宋体" w:cs="宋体"/>
                <w:b/>
                <w:bCs/>
                <w:color w:val="000000"/>
                <w:szCs w:val="21"/>
              </w:rPr>
            </w:pPr>
            <w:r>
              <w:rPr>
                <w:rFonts w:hint="eastAsia" w:ascii="宋体" w:hAnsi="宋体" w:cs="宋体"/>
                <w:b/>
                <w:bCs/>
                <w:color w:val="000000"/>
                <w:szCs w:val="21"/>
              </w:rPr>
              <w:t>数量</w:t>
            </w:r>
          </w:p>
        </w:tc>
        <w:tc>
          <w:tcPr>
            <w:tcW w:w="2626" w:type="dxa"/>
            <w:gridSpan w:val="2"/>
            <w:noWrap/>
            <w:vAlign w:val="center"/>
          </w:tcPr>
          <w:p>
            <w:pPr>
              <w:jc w:val="center"/>
              <w:rPr>
                <w:rFonts w:ascii="宋体" w:hAnsi="宋体" w:cs="宋体"/>
                <w:b/>
                <w:bCs/>
                <w:color w:val="000000"/>
                <w:szCs w:val="21"/>
              </w:rPr>
            </w:pPr>
            <w:r>
              <w:rPr>
                <w:rFonts w:hint="eastAsia" w:ascii="宋体" w:hAnsi="宋体" w:cs="宋体"/>
                <w:b/>
                <w:bCs/>
                <w:color w:val="000000"/>
                <w:szCs w:val="21"/>
              </w:rPr>
              <w:t>安装容量（kW）</w:t>
            </w:r>
          </w:p>
        </w:tc>
        <w:tc>
          <w:tcPr>
            <w:tcW w:w="1636" w:type="dxa"/>
            <w:vMerge w:val="restart"/>
            <w:noWrap/>
            <w:vAlign w:val="center"/>
          </w:tcPr>
          <w:p>
            <w:pPr>
              <w:jc w:val="center"/>
              <w:rPr>
                <w:rFonts w:ascii="宋体" w:hAnsi="宋体" w:cs="宋体"/>
                <w:b/>
                <w:bCs/>
                <w:color w:val="000000"/>
                <w:szCs w:val="21"/>
              </w:rPr>
            </w:pPr>
            <w:r>
              <w:rPr>
                <w:rFonts w:hint="eastAsia" w:ascii="宋体" w:hAnsi="宋体" w:cs="宋体"/>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692" w:type="dxa"/>
            <w:vMerge w:val="continue"/>
            <w:noWrap/>
            <w:vAlign w:val="center"/>
          </w:tcPr>
          <w:p>
            <w:pPr>
              <w:jc w:val="center"/>
              <w:rPr>
                <w:rFonts w:ascii="宋体" w:hAnsi="宋体" w:cs="宋体"/>
                <w:color w:val="000000"/>
                <w:szCs w:val="21"/>
              </w:rPr>
            </w:pPr>
          </w:p>
        </w:tc>
        <w:tc>
          <w:tcPr>
            <w:tcW w:w="3289" w:type="dxa"/>
            <w:vMerge w:val="continue"/>
            <w:noWrap/>
            <w:vAlign w:val="center"/>
          </w:tcPr>
          <w:p>
            <w:pPr>
              <w:jc w:val="center"/>
              <w:rPr>
                <w:rFonts w:ascii="宋体" w:hAnsi="宋体" w:cs="宋体"/>
                <w:color w:val="000000"/>
                <w:szCs w:val="21"/>
              </w:rPr>
            </w:pPr>
          </w:p>
        </w:tc>
        <w:tc>
          <w:tcPr>
            <w:tcW w:w="1015" w:type="dxa"/>
            <w:vMerge w:val="continue"/>
            <w:noWrap/>
            <w:vAlign w:val="center"/>
          </w:tcPr>
          <w:p>
            <w:pPr>
              <w:jc w:val="center"/>
              <w:rPr>
                <w:rFonts w:ascii="宋体" w:hAnsi="宋体" w:cs="宋体"/>
                <w:color w:val="000000"/>
                <w:szCs w:val="21"/>
              </w:rPr>
            </w:pPr>
          </w:p>
        </w:tc>
        <w:tc>
          <w:tcPr>
            <w:tcW w:w="1149" w:type="dxa"/>
            <w:noWrap/>
            <w:vAlign w:val="center"/>
          </w:tcPr>
          <w:p>
            <w:pPr>
              <w:jc w:val="center"/>
              <w:rPr>
                <w:rFonts w:ascii="宋体" w:hAnsi="宋体" w:cs="宋体"/>
                <w:b/>
                <w:bCs/>
                <w:color w:val="000000"/>
                <w:szCs w:val="21"/>
              </w:rPr>
            </w:pPr>
            <w:r>
              <w:rPr>
                <w:rFonts w:hint="eastAsia" w:ascii="宋体" w:hAnsi="宋体" w:cs="宋体"/>
                <w:b/>
                <w:bCs/>
                <w:color w:val="000000"/>
                <w:szCs w:val="21"/>
              </w:rPr>
              <w:t>单台</w:t>
            </w:r>
          </w:p>
        </w:tc>
        <w:tc>
          <w:tcPr>
            <w:tcW w:w="1477" w:type="dxa"/>
            <w:noWrap/>
            <w:vAlign w:val="center"/>
          </w:tcPr>
          <w:p>
            <w:pPr>
              <w:jc w:val="center"/>
              <w:rPr>
                <w:rFonts w:ascii="宋体" w:hAnsi="宋体" w:cs="宋体"/>
                <w:b/>
                <w:bCs/>
                <w:color w:val="000000"/>
                <w:szCs w:val="21"/>
              </w:rPr>
            </w:pPr>
            <w:r>
              <w:rPr>
                <w:rFonts w:hint="eastAsia" w:ascii="宋体" w:hAnsi="宋体" w:cs="宋体"/>
                <w:b/>
                <w:bCs/>
                <w:color w:val="000000"/>
                <w:szCs w:val="21"/>
              </w:rPr>
              <w:t>合计</w:t>
            </w:r>
          </w:p>
        </w:tc>
        <w:tc>
          <w:tcPr>
            <w:tcW w:w="1636" w:type="dxa"/>
            <w:vMerge w:val="continue"/>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激光打标机</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5</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5</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2</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加工中心</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20</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100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2000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3</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加工中心用液压夹具及辊道</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20</w:t>
            </w:r>
          </w:p>
        </w:tc>
        <w:tc>
          <w:tcPr>
            <w:tcW w:w="1149" w:type="dxa"/>
            <w:noWrap/>
            <w:vAlign w:val="center"/>
          </w:tcPr>
          <w:p>
            <w:pPr>
              <w:jc w:val="center"/>
              <w:rPr>
                <w:rFonts w:ascii="宋体" w:hAnsi="宋体" w:cs="宋体"/>
                <w:color w:val="000000"/>
                <w:szCs w:val="21"/>
              </w:rPr>
            </w:pP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4</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精加工工序自动上下料系统</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35</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35</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5</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加工中心用刀具</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6</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中间机器人修毛刺系统</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30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30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7</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中间清洗机</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180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180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8</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中间试漏机</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45</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45</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9</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座圈导管压装机</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50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50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10</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凸轮轴盖装配拧紧刻字</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40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40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11</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最终机器人修毛刺系统</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30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30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12</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最终清洗机</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270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270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13</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碗形塞压装机</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80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80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14</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最终试漏机</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40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40</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15</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物流系统</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100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100</w:t>
            </w:r>
          </w:p>
        </w:tc>
        <w:tc>
          <w:tcPr>
            <w:tcW w:w="1636" w:type="dxa"/>
            <w:noWrap/>
            <w:vAlign w:val="center"/>
          </w:tcPr>
          <w:p>
            <w:pPr>
              <w:jc w:val="center"/>
              <w:rPr>
                <w:rFonts w:ascii="宋体" w:hAnsi="宋体" w:cs="宋体"/>
                <w:color w:val="000000"/>
                <w:szCs w:val="21"/>
              </w:rPr>
            </w:pPr>
            <w:r>
              <w:rPr>
                <w:rFonts w:hint="eastAsia" w:ascii="宋体" w:hAnsi="宋体" w:cs="宋体"/>
                <w:color w:val="000000"/>
                <w:szCs w:val="21"/>
              </w:rPr>
              <w:t>含上下料起吊装置、下线检测装置等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16</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切削液集中处理装置</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505</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505</w:t>
            </w:r>
          </w:p>
        </w:tc>
        <w:tc>
          <w:tcPr>
            <w:tcW w:w="1636" w:type="dxa"/>
            <w:noWrap/>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2" w:type="dxa"/>
            <w:noWrap/>
            <w:vAlign w:val="center"/>
          </w:tcPr>
          <w:p>
            <w:pPr>
              <w:jc w:val="center"/>
              <w:rPr>
                <w:rFonts w:ascii="宋体" w:hAnsi="宋体" w:cs="宋体"/>
                <w:color w:val="000000"/>
                <w:szCs w:val="21"/>
              </w:rPr>
            </w:pPr>
            <w:r>
              <w:rPr>
                <w:rFonts w:hint="eastAsia" w:ascii="宋体" w:hAnsi="宋体" w:cs="宋体"/>
                <w:color w:val="000000"/>
                <w:szCs w:val="21"/>
              </w:rPr>
              <w:t>17</w:t>
            </w:r>
          </w:p>
        </w:tc>
        <w:tc>
          <w:tcPr>
            <w:tcW w:w="3289" w:type="dxa"/>
            <w:noWrap/>
            <w:vAlign w:val="center"/>
          </w:tcPr>
          <w:p>
            <w:pPr>
              <w:jc w:val="center"/>
              <w:rPr>
                <w:rFonts w:ascii="宋体" w:hAnsi="宋体" w:cs="宋体"/>
                <w:color w:val="000000"/>
                <w:szCs w:val="21"/>
              </w:rPr>
            </w:pPr>
            <w:r>
              <w:rPr>
                <w:rFonts w:hint="eastAsia" w:ascii="宋体" w:hAnsi="宋体" w:cs="宋体"/>
                <w:color w:val="000000"/>
                <w:szCs w:val="21"/>
              </w:rPr>
              <w:t>水雾处理系统</w:t>
            </w:r>
          </w:p>
        </w:tc>
        <w:tc>
          <w:tcPr>
            <w:tcW w:w="1015" w:type="dxa"/>
            <w:noWrap/>
            <w:vAlign w:val="center"/>
          </w:tcPr>
          <w:p>
            <w:pPr>
              <w:jc w:val="center"/>
              <w:rPr>
                <w:rFonts w:ascii="宋体" w:hAnsi="宋体" w:cs="宋体"/>
                <w:color w:val="000000"/>
                <w:szCs w:val="21"/>
              </w:rPr>
            </w:pPr>
            <w:r>
              <w:rPr>
                <w:rFonts w:hint="eastAsia" w:ascii="宋体" w:hAnsi="宋体" w:cs="宋体"/>
                <w:color w:val="000000"/>
                <w:szCs w:val="21"/>
              </w:rPr>
              <w:t>2</w:t>
            </w:r>
          </w:p>
        </w:tc>
        <w:tc>
          <w:tcPr>
            <w:tcW w:w="1149" w:type="dxa"/>
            <w:noWrap/>
            <w:vAlign w:val="center"/>
          </w:tcPr>
          <w:p>
            <w:pPr>
              <w:jc w:val="center"/>
              <w:rPr>
                <w:rFonts w:ascii="宋体" w:hAnsi="宋体" w:cs="宋体"/>
                <w:color w:val="000000"/>
                <w:szCs w:val="21"/>
              </w:rPr>
            </w:pPr>
            <w:r>
              <w:rPr>
                <w:rFonts w:hint="eastAsia" w:ascii="宋体" w:hAnsi="宋体" w:cs="宋体"/>
                <w:color w:val="000000"/>
                <w:szCs w:val="21"/>
              </w:rPr>
              <w:t>30</w:t>
            </w:r>
          </w:p>
        </w:tc>
        <w:tc>
          <w:tcPr>
            <w:tcW w:w="1477" w:type="dxa"/>
            <w:noWrap/>
            <w:vAlign w:val="center"/>
          </w:tcPr>
          <w:p>
            <w:pPr>
              <w:jc w:val="center"/>
              <w:rPr>
                <w:rFonts w:ascii="宋体" w:hAnsi="宋体" w:cs="宋体"/>
                <w:color w:val="000000"/>
                <w:szCs w:val="21"/>
              </w:rPr>
            </w:pPr>
            <w:r>
              <w:rPr>
                <w:rFonts w:hint="eastAsia" w:ascii="宋体" w:hAnsi="宋体" w:cs="宋体"/>
                <w:color w:val="000000"/>
                <w:szCs w:val="21"/>
              </w:rPr>
              <w:t>60</w:t>
            </w:r>
          </w:p>
        </w:tc>
        <w:tc>
          <w:tcPr>
            <w:tcW w:w="1636" w:type="dxa"/>
            <w:noWrap/>
            <w:vAlign w:val="center"/>
          </w:tcPr>
          <w:p>
            <w:pPr>
              <w:jc w:val="center"/>
              <w:rPr>
                <w:rFonts w:ascii="宋体" w:hAnsi="宋体" w:cs="宋体"/>
                <w:color w:val="000000"/>
                <w:szCs w:val="21"/>
              </w:rPr>
            </w:pPr>
          </w:p>
        </w:tc>
      </w:tr>
    </w:tbl>
    <w:p>
      <w:pPr>
        <w:spacing w:line="500" w:lineRule="exact"/>
        <w:ind w:firstLine="482"/>
        <w:jc w:val="center"/>
        <w:rPr>
          <w:rFonts w:ascii="宋体" w:hAnsi="宋体" w:cs="宋体"/>
          <w:sz w:val="24"/>
        </w:rPr>
      </w:pPr>
      <w:r>
        <w:rPr>
          <w:rFonts w:hint="eastAsia" w:ascii="宋体" w:hAnsi="宋体" w:cs="宋体"/>
          <w:sz w:val="24"/>
        </w:rPr>
        <w:t>表2-14</w:t>
      </w:r>
      <w:r>
        <w:rPr>
          <w:rFonts w:hint="eastAsia"/>
          <w:kern w:val="0"/>
          <w:sz w:val="24"/>
        </w:rPr>
        <w:t>生产线辅助设备明细表</w:t>
      </w:r>
    </w:p>
    <w:tbl>
      <w:tblPr>
        <w:tblStyle w:val="52"/>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283"/>
        <w:gridCol w:w="1172"/>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2" w:type="dxa"/>
            <w:vMerge w:val="restart"/>
            <w:noWrap/>
            <w:vAlign w:val="center"/>
          </w:tcPr>
          <w:p>
            <w:pPr>
              <w:widowControl/>
              <w:jc w:val="center"/>
              <w:rPr>
                <w:b/>
                <w:bCs/>
                <w:kern w:val="0"/>
                <w:szCs w:val="21"/>
              </w:rPr>
            </w:pPr>
            <w:r>
              <w:rPr>
                <w:b/>
                <w:bCs/>
                <w:kern w:val="0"/>
                <w:szCs w:val="21"/>
              </w:rPr>
              <w:t>序号</w:t>
            </w:r>
          </w:p>
        </w:tc>
        <w:tc>
          <w:tcPr>
            <w:tcW w:w="4283" w:type="dxa"/>
            <w:vMerge w:val="restart"/>
            <w:noWrap/>
            <w:vAlign w:val="center"/>
          </w:tcPr>
          <w:p>
            <w:pPr>
              <w:widowControl/>
              <w:jc w:val="center"/>
              <w:rPr>
                <w:b/>
                <w:bCs/>
                <w:kern w:val="0"/>
                <w:szCs w:val="21"/>
              </w:rPr>
            </w:pPr>
            <w:r>
              <w:rPr>
                <w:b/>
                <w:bCs/>
                <w:kern w:val="0"/>
                <w:szCs w:val="21"/>
              </w:rPr>
              <w:t>设备名称及型号</w:t>
            </w:r>
          </w:p>
        </w:tc>
        <w:tc>
          <w:tcPr>
            <w:tcW w:w="1172" w:type="dxa"/>
            <w:vMerge w:val="restart"/>
            <w:noWrap/>
            <w:vAlign w:val="center"/>
          </w:tcPr>
          <w:p>
            <w:pPr>
              <w:widowControl/>
              <w:jc w:val="center"/>
              <w:rPr>
                <w:b/>
                <w:bCs/>
                <w:kern w:val="0"/>
                <w:szCs w:val="21"/>
              </w:rPr>
            </w:pPr>
            <w:r>
              <w:rPr>
                <w:b/>
                <w:bCs/>
                <w:kern w:val="0"/>
                <w:szCs w:val="21"/>
              </w:rPr>
              <w:t>数量</w:t>
            </w:r>
          </w:p>
        </w:tc>
        <w:tc>
          <w:tcPr>
            <w:tcW w:w="3081" w:type="dxa"/>
            <w:vMerge w:val="restart"/>
            <w:noWrap/>
            <w:vAlign w:val="center"/>
          </w:tcPr>
          <w:p>
            <w:pPr>
              <w:widowControl/>
              <w:jc w:val="center"/>
              <w:rPr>
                <w:b/>
                <w:bCs/>
                <w:kern w:val="0"/>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2" w:type="dxa"/>
            <w:vMerge w:val="continue"/>
            <w:noWrap/>
            <w:vAlign w:val="center"/>
          </w:tcPr>
          <w:p>
            <w:pPr>
              <w:widowControl/>
              <w:jc w:val="center"/>
              <w:rPr>
                <w:b/>
                <w:bCs/>
                <w:kern w:val="0"/>
                <w:szCs w:val="21"/>
              </w:rPr>
            </w:pPr>
          </w:p>
        </w:tc>
        <w:tc>
          <w:tcPr>
            <w:tcW w:w="4283" w:type="dxa"/>
            <w:vMerge w:val="continue"/>
            <w:noWrap/>
            <w:vAlign w:val="center"/>
          </w:tcPr>
          <w:p>
            <w:pPr>
              <w:widowControl/>
              <w:jc w:val="center"/>
              <w:rPr>
                <w:b/>
                <w:bCs/>
                <w:kern w:val="0"/>
                <w:szCs w:val="21"/>
              </w:rPr>
            </w:pPr>
          </w:p>
        </w:tc>
        <w:tc>
          <w:tcPr>
            <w:tcW w:w="1172" w:type="dxa"/>
            <w:vMerge w:val="continue"/>
            <w:noWrap/>
            <w:vAlign w:val="center"/>
          </w:tcPr>
          <w:p>
            <w:pPr>
              <w:widowControl/>
              <w:jc w:val="center"/>
              <w:rPr>
                <w:b/>
                <w:bCs/>
                <w:kern w:val="0"/>
                <w:szCs w:val="21"/>
              </w:rPr>
            </w:pPr>
          </w:p>
        </w:tc>
        <w:tc>
          <w:tcPr>
            <w:tcW w:w="3081" w:type="dxa"/>
            <w:vMerge w:val="continue"/>
            <w:noWrap/>
            <w:vAlign w:val="center"/>
          </w:tcPr>
          <w:p>
            <w:pPr>
              <w:widowControl/>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2" w:type="dxa"/>
            <w:noWrap/>
            <w:vAlign w:val="center"/>
          </w:tcPr>
          <w:p>
            <w:pPr>
              <w:spacing w:line="300" w:lineRule="auto"/>
              <w:ind w:firstLine="2"/>
              <w:contextualSpacing/>
              <w:jc w:val="center"/>
            </w:pPr>
            <w:r>
              <w:t>1</w:t>
            </w:r>
          </w:p>
        </w:tc>
        <w:tc>
          <w:tcPr>
            <w:tcW w:w="4283" w:type="dxa"/>
            <w:noWrap/>
          </w:tcPr>
          <w:p>
            <w:pPr>
              <w:spacing w:line="300" w:lineRule="auto"/>
              <w:ind w:firstLine="2"/>
              <w:contextualSpacing/>
            </w:pPr>
            <w:r>
              <w:t>调刀仪+热缩仪+洗刀机</w:t>
            </w:r>
          </w:p>
        </w:tc>
        <w:tc>
          <w:tcPr>
            <w:tcW w:w="1172" w:type="dxa"/>
            <w:noWrap/>
          </w:tcPr>
          <w:p>
            <w:pPr>
              <w:spacing w:line="300" w:lineRule="auto"/>
              <w:ind w:firstLine="2"/>
              <w:contextualSpacing/>
              <w:jc w:val="center"/>
            </w:pPr>
            <w:r>
              <w:t>3</w:t>
            </w:r>
          </w:p>
        </w:tc>
        <w:tc>
          <w:tcPr>
            <w:tcW w:w="3081" w:type="dxa"/>
            <w:noWrap/>
          </w:tcPr>
          <w:p>
            <w:pPr>
              <w:spacing w:line="320" w:lineRule="exact"/>
              <w:ind w:firstLine="42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noWrap/>
            <w:vAlign w:val="center"/>
          </w:tcPr>
          <w:p>
            <w:pPr>
              <w:spacing w:line="300" w:lineRule="auto"/>
              <w:ind w:firstLine="2"/>
              <w:contextualSpacing/>
              <w:jc w:val="center"/>
            </w:pPr>
            <w:r>
              <w:t>2</w:t>
            </w:r>
          </w:p>
        </w:tc>
        <w:tc>
          <w:tcPr>
            <w:tcW w:w="4283" w:type="dxa"/>
            <w:noWrap/>
          </w:tcPr>
          <w:p>
            <w:pPr>
              <w:spacing w:line="300" w:lineRule="auto"/>
              <w:ind w:firstLine="2"/>
              <w:contextualSpacing/>
            </w:pPr>
            <w:r>
              <w:t>三坐标测量机</w:t>
            </w:r>
          </w:p>
        </w:tc>
        <w:tc>
          <w:tcPr>
            <w:tcW w:w="1172" w:type="dxa"/>
            <w:noWrap/>
          </w:tcPr>
          <w:p>
            <w:pPr>
              <w:spacing w:line="300" w:lineRule="auto"/>
              <w:ind w:firstLine="2"/>
              <w:contextualSpacing/>
              <w:jc w:val="center"/>
            </w:pPr>
            <w:r>
              <w:t>2</w:t>
            </w:r>
          </w:p>
        </w:tc>
        <w:tc>
          <w:tcPr>
            <w:tcW w:w="3081" w:type="dxa"/>
            <w:noWrap/>
          </w:tcPr>
          <w:p>
            <w:pPr>
              <w:widowControl/>
              <w:spacing w:line="320" w:lineRule="exact"/>
              <w:textAlignment w:val="top"/>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02" w:type="dxa"/>
            <w:noWrap/>
            <w:vAlign w:val="center"/>
          </w:tcPr>
          <w:p>
            <w:pPr>
              <w:spacing w:line="300" w:lineRule="auto"/>
              <w:ind w:firstLine="2"/>
              <w:contextualSpacing/>
              <w:jc w:val="center"/>
            </w:pPr>
            <w:r>
              <w:t>3</w:t>
            </w:r>
          </w:p>
        </w:tc>
        <w:tc>
          <w:tcPr>
            <w:tcW w:w="4283" w:type="dxa"/>
            <w:noWrap/>
          </w:tcPr>
          <w:p>
            <w:pPr>
              <w:spacing w:line="300" w:lineRule="auto"/>
              <w:ind w:firstLine="2"/>
              <w:contextualSpacing/>
            </w:pPr>
            <w:r>
              <w:t>量检具及在线测量系统</w:t>
            </w:r>
          </w:p>
        </w:tc>
        <w:tc>
          <w:tcPr>
            <w:tcW w:w="1172" w:type="dxa"/>
            <w:noWrap/>
          </w:tcPr>
          <w:p>
            <w:pPr>
              <w:spacing w:line="300" w:lineRule="auto"/>
              <w:ind w:firstLine="2"/>
              <w:contextualSpacing/>
              <w:jc w:val="center"/>
            </w:pPr>
            <w:r>
              <w:t>1</w:t>
            </w:r>
          </w:p>
        </w:tc>
        <w:tc>
          <w:tcPr>
            <w:tcW w:w="3081"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2" w:type="dxa"/>
            <w:noWrap/>
            <w:vAlign w:val="center"/>
          </w:tcPr>
          <w:p>
            <w:pPr>
              <w:spacing w:line="300" w:lineRule="auto"/>
              <w:ind w:firstLine="2"/>
              <w:contextualSpacing/>
              <w:jc w:val="center"/>
              <w:rPr>
                <w:b/>
                <w:sz w:val="24"/>
              </w:rPr>
            </w:pPr>
          </w:p>
        </w:tc>
        <w:tc>
          <w:tcPr>
            <w:tcW w:w="4283" w:type="dxa"/>
            <w:noWrap/>
          </w:tcPr>
          <w:p>
            <w:pPr>
              <w:spacing w:line="300" w:lineRule="auto"/>
              <w:ind w:firstLine="2"/>
              <w:contextualSpacing/>
              <w:jc w:val="left"/>
              <w:rPr>
                <w:b/>
                <w:sz w:val="24"/>
              </w:rPr>
            </w:pPr>
            <w:r>
              <w:rPr>
                <w:b/>
                <w:sz w:val="24"/>
              </w:rPr>
              <w:t>小计</w:t>
            </w:r>
          </w:p>
        </w:tc>
        <w:tc>
          <w:tcPr>
            <w:tcW w:w="1172" w:type="dxa"/>
            <w:noWrap/>
          </w:tcPr>
          <w:p>
            <w:pPr>
              <w:spacing w:line="300" w:lineRule="auto"/>
              <w:ind w:firstLine="2"/>
              <w:contextualSpacing/>
              <w:jc w:val="center"/>
              <w:rPr>
                <w:b/>
                <w:sz w:val="24"/>
              </w:rPr>
            </w:pPr>
          </w:p>
        </w:tc>
        <w:tc>
          <w:tcPr>
            <w:tcW w:w="3081" w:type="dxa"/>
            <w:noWrap/>
          </w:tcPr>
          <w:p>
            <w:pPr>
              <w:spacing w:line="320" w:lineRule="exact"/>
              <w:ind w:firstLine="420"/>
              <w:jc w:val="center"/>
              <w:rPr>
                <w:b/>
                <w:szCs w:val="21"/>
              </w:rPr>
            </w:pPr>
          </w:p>
        </w:tc>
      </w:tr>
    </w:tbl>
    <w:p>
      <w:pPr>
        <w:spacing w:line="500" w:lineRule="exact"/>
        <w:ind w:firstLine="482"/>
        <w:jc w:val="center"/>
        <w:rPr>
          <w:rFonts w:ascii="宋体" w:hAnsi="宋体" w:cs="宋体"/>
          <w:sz w:val="24"/>
        </w:rPr>
      </w:pPr>
      <w:r>
        <w:rPr>
          <w:rFonts w:hint="eastAsia" w:ascii="宋体" w:hAnsi="宋体" w:cs="宋体"/>
          <w:sz w:val="24"/>
        </w:rPr>
        <w:t>表2-15 生产线MES系统设备明细表</w:t>
      </w:r>
    </w:p>
    <w:tbl>
      <w:tblPr>
        <w:tblStyle w:val="52"/>
        <w:tblW w:w="9238" w:type="dxa"/>
        <w:jc w:val="center"/>
        <w:shd w:val="clear" w:color="auto" w:fill="FFFFFF"/>
        <w:tblLayout w:type="fixed"/>
        <w:tblCellMar>
          <w:top w:w="0" w:type="dxa"/>
          <w:left w:w="0" w:type="dxa"/>
          <w:bottom w:w="0" w:type="dxa"/>
          <w:right w:w="0" w:type="dxa"/>
        </w:tblCellMar>
      </w:tblPr>
      <w:tblGrid>
        <w:gridCol w:w="736"/>
        <w:gridCol w:w="1464"/>
        <w:gridCol w:w="7038"/>
      </w:tblGrid>
      <w:tr>
        <w:tblPrEx>
          <w:shd w:val="clear" w:color="auto" w:fill="FFFFFF"/>
          <w:tblCellMar>
            <w:top w:w="0" w:type="dxa"/>
            <w:left w:w="0" w:type="dxa"/>
            <w:bottom w:w="0" w:type="dxa"/>
            <w:right w:w="0" w:type="dxa"/>
          </w:tblCellMar>
        </w:tblPrEx>
        <w:trPr>
          <w:trHeight w:val="6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20" w:lineRule="exact"/>
              <w:contextualSpacing/>
              <w:jc w:val="center"/>
              <w:rPr>
                <w:b/>
              </w:rPr>
            </w:pPr>
            <w:r>
              <w:rPr>
                <w:b/>
              </w:rPr>
              <w:t>序号</w:t>
            </w:r>
          </w:p>
        </w:tc>
        <w:tc>
          <w:tcPr>
            <w:tcW w:w="1464" w:type="dxa"/>
            <w:tcBorders>
              <w:top w:val="single" w:color="auto" w:sz="4" w:space="0"/>
              <w:left w:val="nil"/>
              <w:bottom w:val="single" w:color="auto" w:sz="4" w:space="0"/>
              <w:right w:val="single" w:color="auto" w:sz="4" w:space="0"/>
            </w:tcBorders>
            <w:shd w:val="clear" w:color="auto" w:fill="FFFFFF"/>
            <w:noWrap/>
            <w:vAlign w:val="center"/>
          </w:tcPr>
          <w:p>
            <w:pPr>
              <w:spacing w:line="320" w:lineRule="exact"/>
              <w:contextualSpacing/>
              <w:jc w:val="center"/>
              <w:rPr>
                <w:b/>
              </w:rPr>
            </w:pPr>
            <w:r>
              <w:rPr>
                <w:b/>
              </w:rPr>
              <w:t>估算名称</w:t>
            </w:r>
          </w:p>
        </w:tc>
        <w:tc>
          <w:tcPr>
            <w:tcW w:w="7038" w:type="dxa"/>
            <w:tcBorders>
              <w:top w:val="single" w:color="auto" w:sz="4" w:space="0"/>
              <w:left w:val="nil"/>
              <w:bottom w:val="single" w:color="auto" w:sz="4" w:space="0"/>
              <w:right w:val="single" w:color="auto" w:sz="4" w:space="0"/>
            </w:tcBorders>
            <w:shd w:val="clear" w:color="auto" w:fill="FFFFFF"/>
            <w:noWrap/>
            <w:vAlign w:val="center"/>
          </w:tcPr>
          <w:p>
            <w:pPr>
              <w:spacing w:line="320" w:lineRule="exact"/>
              <w:contextualSpacing/>
              <w:jc w:val="center"/>
              <w:rPr>
                <w:b/>
              </w:rPr>
            </w:pPr>
            <w:r>
              <w:rPr>
                <w:b/>
              </w:rPr>
              <w:t>备注</w:t>
            </w:r>
          </w:p>
          <w:p>
            <w:pPr>
              <w:spacing w:line="320" w:lineRule="exact"/>
              <w:contextualSpacing/>
              <w:jc w:val="center"/>
              <w:rPr>
                <w:b/>
              </w:rPr>
            </w:pPr>
            <w:r>
              <w:rPr>
                <w:b/>
              </w:rPr>
              <w:t>（用途、参考型号或供应商）</w:t>
            </w:r>
          </w:p>
        </w:tc>
      </w:tr>
      <w:tr>
        <w:tblPrEx>
          <w:shd w:val="clear" w:color="auto" w:fill="FFFFFF"/>
          <w:tblCellMar>
            <w:top w:w="0" w:type="dxa"/>
            <w:left w:w="0" w:type="dxa"/>
            <w:bottom w:w="0" w:type="dxa"/>
            <w:right w:w="0" w:type="dxa"/>
          </w:tblCellMar>
        </w:tblPrEx>
        <w:trPr>
          <w:trHeight w:val="1358"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20" w:lineRule="exact"/>
              <w:ind w:firstLine="2"/>
              <w:contextualSpacing/>
              <w:jc w:val="center"/>
            </w:pPr>
            <w:r>
              <w:t>一</w:t>
            </w:r>
          </w:p>
        </w:tc>
        <w:tc>
          <w:tcPr>
            <w:tcW w:w="1464" w:type="dxa"/>
            <w:tcBorders>
              <w:top w:val="single" w:color="auto" w:sz="4" w:space="0"/>
              <w:left w:val="nil"/>
              <w:bottom w:val="single" w:color="auto" w:sz="4" w:space="0"/>
              <w:right w:val="single" w:color="auto" w:sz="4" w:space="0"/>
            </w:tcBorders>
            <w:shd w:val="clear" w:color="auto" w:fill="FFFFFF"/>
            <w:noWrap/>
            <w:vAlign w:val="center"/>
          </w:tcPr>
          <w:p>
            <w:pPr>
              <w:spacing w:line="320" w:lineRule="exact"/>
              <w:contextualSpacing/>
              <w:jc w:val="center"/>
            </w:pPr>
            <w:r>
              <w:t>软件</w:t>
            </w:r>
          </w:p>
        </w:tc>
        <w:tc>
          <w:tcPr>
            <w:tcW w:w="7038" w:type="dxa"/>
            <w:tcBorders>
              <w:top w:val="single" w:color="auto" w:sz="4" w:space="0"/>
              <w:left w:val="nil"/>
              <w:bottom w:val="single" w:color="auto" w:sz="4" w:space="0"/>
              <w:right w:val="single" w:color="auto" w:sz="4" w:space="0"/>
            </w:tcBorders>
            <w:shd w:val="clear" w:color="auto" w:fill="FFFFFF"/>
            <w:noWrap/>
            <w:vAlign w:val="center"/>
          </w:tcPr>
          <w:p>
            <w:pPr>
              <w:spacing w:line="320" w:lineRule="exact"/>
              <w:contextualSpacing/>
            </w:pPr>
            <w:r>
              <w:t>SCADA数采系统建设，MES系统生产线现场作业管理、产品工艺管理、生产计划与工单管理、物料管理、制造资源管理、过程质量管理、人员管理以及与ERP、PDM、CRM、QMS、AMS、TMS、后装线系统、立库、智能分拣系统、短信平台系统集成</w:t>
            </w:r>
          </w:p>
        </w:tc>
      </w:tr>
      <w:tr>
        <w:tblPrEx>
          <w:shd w:val="clear" w:color="auto" w:fill="FFFFFF"/>
          <w:tblCellMar>
            <w:top w:w="0" w:type="dxa"/>
            <w:left w:w="0" w:type="dxa"/>
            <w:bottom w:w="0" w:type="dxa"/>
            <w:right w:w="0" w:type="dxa"/>
          </w:tblCellMar>
        </w:tblPrEx>
        <w:trPr>
          <w:trHeight w:val="6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20" w:lineRule="exact"/>
              <w:ind w:firstLine="2"/>
              <w:contextualSpacing/>
              <w:jc w:val="center"/>
            </w:pPr>
            <w:r>
              <w:t>二</w:t>
            </w:r>
          </w:p>
        </w:tc>
        <w:tc>
          <w:tcPr>
            <w:tcW w:w="1464" w:type="dxa"/>
            <w:tcBorders>
              <w:top w:val="single" w:color="auto" w:sz="4" w:space="0"/>
              <w:left w:val="nil"/>
              <w:bottom w:val="single" w:color="auto" w:sz="4" w:space="0"/>
              <w:right w:val="single" w:color="auto" w:sz="4" w:space="0"/>
            </w:tcBorders>
            <w:shd w:val="clear" w:color="auto" w:fill="FFFFFF"/>
            <w:noWrap/>
            <w:vAlign w:val="center"/>
          </w:tcPr>
          <w:p>
            <w:pPr>
              <w:spacing w:line="320" w:lineRule="exact"/>
              <w:contextualSpacing/>
              <w:jc w:val="center"/>
            </w:pPr>
            <w:r>
              <w:t>硬件</w:t>
            </w:r>
          </w:p>
        </w:tc>
        <w:tc>
          <w:tcPr>
            <w:tcW w:w="7038" w:type="dxa"/>
            <w:tcBorders>
              <w:top w:val="single" w:color="auto" w:sz="4" w:space="0"/>
              <w:left w:val="nil"/>
              <w:bottom w:val="single" w:color="auto" w:sz="4" w:space="0"/>
              <w:right w:val="single" w:color="auto" w:sz="4" w:space="0"/>
            </w:tcBorders>
            <w:shd w:val="clear" w:color="auto" w:fill="FFFFFF"/>
            <w:noWrap/>
            <w:vAlign w:val="center"/>
          </w:tcPr>
          <w:p>
            <w:pPr>
              <w:spacing w:line="320" w:lineRule="exact"/>
              <w:contextualSpacing/>
            </w:pPr>
            <w:r>
              <w:t>服务器、工位PC、扫描枪、PDA、平板电脑、拼接屏、LED屏、打印机、UPS等IT硬件的安装调试及网络交换机、无线AP的布线调试。</w:t>
            </w:r>
          </w:p>
        </w:tc>
      </w:tr>
      <w:tr>
        <w:tblPrEx>
          <w:shd w:val="clear" w:color="auto" w:fill="FFFFFF"/>
          <w:tblCellMar>
            <w:top w:w="0" w:type="dxa"/>
            <w:left w:w="0" w:type="dxa"/>
            <w:bottom w:w="0" w:type="dxa"/>
            <w:right w:w="0" w:type="dxa"/>
          </w:tblCellMar>
        </w:tblPrEx>
        <w:trPr>
          <w:trHeight w:val="563" w:hRule="atLeast"/>
          <w:jc w:val="center"/>
        </w:trPr>
        <w:tc>
          <w:tcPr>
            <w:tcW w:w="2200" w:type="dxa"/>
            <w:gridSpan w:val="2"/>
            <w:tcBorders>
              <w:top w:val="nil"/>
              <w:left w:val="single" w:color="auto" w:sz="4" w:space="0"/>
              <w:bottom w:val="single" w:color="auto" w:sz="4" w:space="0"/>
              <w:right w:val="single" w:color="auto" w:sz="4" w:space="0"/>
            </w:tcBorders>
            <w:shd w:val="clear" w:color="auto" w:fill="FFFFFF"/>
            <w:noWrap/>
            <w:vAlign w:val="center"/>
          </w:tcPr>
          <w:p>
            <w:pPr>
              <w:spacing w:line="320" w:lineRule="exact"/>
              <w:contextualSpacing/>
              <w:jc w:val="center"/>
              <w:rPr>
                <w:b/>
              </w:rPr>
            </w:pPr>
            <w:r>
              <w:rPr>
                <w:b/>
              </w:rPr>
              <w:t xml:space="preserve">合计 </w:t>
            </w:r>
          </w:p>
        </w:tc>
        <w:tc>
          <w:tcPr>
            <w:tcW w:w="7038" w:type="dxa"/>
            <w:tcBorders>
              <w:top w:val="nil"/>
              <w:left w:val="single" w:color="auto" w:sz="4" w:space="0"/>
              <w:bottom w:val="single" w:color="auto" w:sz="4" w:space="0"/>
              <w:right w:val="single" w:color="auto" w:sz="4" w:space="0"/>
            </w:tcBorders>
            <w:shd w:val="clear" w:color="auto" w:fill="FFFFFF"/>
            <w:noWrap/>
            <w:vAlign w:val="center"/>
          </w:tcPr>
          <w:p>
            <w:pPr>
              <w:spacing w:line="320" w:lineRule="exact"/>
              <w:contextualSpacing/>
              <w:jc w:val="center"/>
            </w:pPr>
          </w:p>
        </w:tc>
      </w:tr>
    </w:tbl>
    <w:p>
      <w:pPr>
        <w:spacing w:line="500" w:lineRule="exact"/>
        <w:ind w:firstLine="482"/>
        <w:jc w:val="center"/>
        <w:rPr>
          <w:rFonts w:ascii="宋体" w:hAnsi="宋体" w:cs="宋体"/>
          <w:sz w:val="24"/>
        </w:rPr>
      </w:pPr>
      <w:bookmarkStart w:id="225" w:name="_Toc516400708"/>
      <w:bookmarkStart w:id="226" w:name="_Toc8837"/>
      <w:r>
        <w:rPr>
          <w:rFonts w:hint="eastAsia" w:ascii="宋体" w:hAnsi="宋体" w:cs="宋体"/>
          <w:sz w:val="24"/>
        </w:rPr>
        <w:t>表2-16 G系列汽油装配设备明细表</w:t>
      </w:r>
    </w:p>
    <w:tbl>
      <w:tblPr>
        <w:tblStyle w:val="52"/>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5896"/>
        <w:gridCol w:w="880"/>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blHeader/>
          <w:jc w:val="center"/>
        </w:trPr>
        <w:tc>
          <w:tcPr>
            <w:tcW w:w="702" w:type="dxa"/>
            <w:vMerge w:val="restart"/>
            <w:noWrap/>
            <w:vAlign w:val="center"/>
          </w:tcPr>
          <w:p>
            <w:pPr>
              <w:widowControl/>
              <w:jc w:val="center"/>
              <w:rPr>
                <w:b/>
                <w:bCs/>
                <w:kern w:val="0"/>
                <w:szCs w:val="21"/>
              </w:rPr>
            </w:pPr>
            <w:r>
              <w:rPr>
                <w:b/>
                <w:bCs/>
                <w:kern w:val="0"/>
                <w:szCs w:val="21"/>
              </w:rPr>
              <w:t>序号</w:t>
            </w:r>
          </w:p>
        </w:tc>
        <w:tc>
          <w:tcPr>
            <w:tcW w:w="5896" w:type="dxa"/>
            <w:vMerge w:val="restart"/>
            <w:noWrap/>
            <w:vAlign w:val="center"/>
          </w:tcPr>
          <w:p>
            <w:pPr>
              <w:widowControl/>
              <w:jc w:val="center"/>
              <w:rPr>
                <w:b/>
                <w:bCs/>
                <w:kern w:val="0"/>
                <w:szCs w:val="21"/>
              </w:rPr>
            </w:pPr>
            <w:r>
              <w:rPr>
                <w:b/>
                <w:bCs/>
                <w:kern w:val="0"/>
                <w:szCs w:val="21"/>
              </w:rPr>
              <w:t>设备名称及型号</w:t>
            </w:r>
          </w:p>
        </w:tc>
        <w:tc>
          <w:tcPr>
            <w:tcW w:w="880" w:type="dxa"/>
            <w:vMerge w:val="restart"/>
            <w:noWrap/>
            <w:vAlign w:val="center"/>
          </w:tcPr>
          <w:p>
            <w:pPr>
              <w:widowControl/>
              <w:jc w:val="center"/>
              <w:rPr>
                <w:b/>
                <w:bCs/>
                <w:kern w:val="0"/>
                <w:szCs w:val="21"/>
              </w:rPr>
            </w:pPr>
            <w:r>
              <w:rPr>
                <w:b/>
                <w:bCs/>
                <w:kern w:val="0"/>
                <w:szCs w:val="21"/>
              </w:rPr>
              <w:t>数量</w:t>
            </w:r>
          </w:p>
        </w:tc>
        <w:tc>
          <w:tcPr>
            <w:tcW w:w="1760" w:type="dxa"/>
            <w:vMerge w:val="restart"/>
            <w:noWrap/>
            <w:vAlign w:val="center"/>
          </w:tcPr>
          <w:p>
            <w:pPr>
              <w:widowControl/>
              <w:jc w:val="center"/>
              <w:rPr>
                <w:b/>
                <w:bCs/>
                <w:kern w:val="0"/>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blHeader/>
          <w:jc w:val="center"/>
        </w:trPr>
        <w:tc>
          <w:tcPr>
            <w:tcW w:w="702" w:type="dxa"/>
            <w:vMerge w:val="continue"/>
            <w:noWrap/>
            <w:vAlign w:val="center"/>
          </w:tcPr>
          <w:p>
            <w:pPr>
              <w:widowControl/>
              <w:jc w:val="center"/>
              <w:rPr>
                <w:b/>
                <w:bCs/>
                <w:kern w:val="0"/>
                <w:szCs w:val="21"/>
              </w:rPr>
            </w:pPr>
          </w:p>
        </w:tc>
        <w:tc>
          <w:tcPr>
            <w:tcW w:w="5896" w:type="dxa"/>
            <w:vMerge w:val="continue"/>
            <w:noWrap/>
            <w:vAlign w:val="center"/>
          </w:tcPr>
          <w:p>
            <w:pPr>
              <w:widowControl/>
              <w:jc w:val="center"/>
              <w:rPr>
                <w:b/>
                <w:bCs/>
                <w:kern w:val="0"/>
                <w:szCs w:val="21"/>
              </w:rPr>
            </w:pPr>
          </w:p>
        </w:tc>
        <w:tc>
          <w:tcPr>
            <w:tcW w:w="880" w:type="dxa"/>
            <w:vMerge w:val="continue"/>
            <w:noWrap/>
            <w:vAlign w:val="center"/>
          </w:tcPr>
          <w:p>
            <w:pPr>
              <w:widowControl/>
              <w:jc w:val="center"/>
              <w:rPr>
                <w:b/>
                <w:bCs/>
                <w:kern w:val="0"/>
                <w:szCs w:val="21"/>
              </w:rPr>
            </w:pPr>
          </w:p>
        </w:tc>
        <w:tc>
          <w:tcPr>
            <w:tcW w:w="1760" w:type="dxa"/>
            <w:vMerge w:val="continue"/>
            <w:noWrap/>
            <w:vAlign w:val="center"/>
          </w:tcPr>
          <w:p>
            <w:pPr>
              <w:widowControl/>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02" w:type="dxa"/>
            <w:noWrap/>
            <w:vAlign w:val="center"/>
          </w:tcPr>
          <w:p>
            <w:pPr>
              <w:widowControl/>
              <w:jc w:val="center"/>
              <w:rPr>
                <w:kern w:val="0"/>
                <w:szCs w:val="21"/>
              </w:rPr>
            </w:pPr>
            <w:r>
              <w:rPr>
                <w:kern w:val="0"/>
                <w:szCs w:val="21"/>
              </w:rPr>
              <w:t>1</w:t>
            </w:r>
          </w:p>
        </w:tc>
        <w:tc>
          <w:tcPr>
            <w:tcW w:w="5896" w:type="dxa"/>
            <w:noWrap/>
            <w:vAlign w:val="center"/>
          </w:tcPr>
          <w:p>
            <w:pPr>
              <w:widowControl/>
              <w:jc w:val="left"/>
              <w:rPr>
                <w:kern w:val="0"/>
                <w:szCs w:val="21"/>
              </w:rPr>
            </w:pPr>
            <w:r>
              <w:rPr>
                <w:kern w:val="0"/>
                <w:szCs w:val="21"/>
              </w:rPr>
              <w:t>缸体上线</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02" w:type="dxa"/>
            <w:noWrap/>
            <w:vAlign w:val="center"/>
          </w:tcPr>
          <w:p>
            <w:pPr>
              <w:widowControl/>
              <w:jc w:val="center"/>
              <w:rPr>
                <w:kern w:val="0"/>
                <w:szCs w:val="21"/>
              </w:rPr>
            </w:pPr>
            <w:r>
              <w:rPr>
                <w:kern w:val="0"/>
                <w:szCs w:val="21"/>
              </w:rPr>
              <w:t>2</w:t>
            </w:r>
          </w:p>
        </w:tc>
        <w:tc>
          <w:tcPr>
            <w:tcW w:w="5896" w:type="dxa"/>
            <w:noWrap/>
            <w:vAlign w:val="center"/>
          </w:tcPr>
          <w:p>
            <w:pPr>
              <w:widowControl/>
              <w:jc w:val="left"/>
              <w:rPr>
                <w:kern w:val="0"/>
                <w:szCs w:val="21"/>
              </w:rPr>
            </w:pPr>
            <w:r>
              <w:rPr>
                <w:kern w:val="0"/>
                <w:szCs w:val="21"/>
              </w:rPr>
              <w:t>回松主轴承盖螺栓拧松机</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702" w:type="dxa"/>
            <w:noWrap/>
            <w:vAlign w:val="center"/>
          </w:tcPr>
          <w:p>
            <w:pPr>
              <w:widowControl/>
              <w:jc w:val="center"/>
              <w:rPr>
                <w:kern w:val="0"/>
                <w:szCs w:val="21"/>
              </w:rPr>
            </w:pPr>
            <w:r>
              <w:rPr>
                <w:kern w:val="0"/>
                <w:szCs w:val="21"/>
              </w:rPr>
              <w:t>3</w:t>
            </w:r>
          </w:p>
        </w:tc>
        <w:tc>
          <w:tcPr>
            <w:tcW w:w="5896" w:type="dxa"/>
            <w:noWrap/>
            <w:vAlign w:val="center"/>
          </w:tcPr>
          <w:p>
            <w:pPr>
              <w:widowControl/>
              <w:jc w:val="left"/>
              <w:rPr>
                <w:kern w:val="0"/>
                <w:szCs w:val="21"/>
              </w:rPr>
            </w:pPr>
            <w:r>
              <w:rPr>
                <w:kern w:val="0"/>
                <w:szCs w:val="21"/>
              </w:rPr>
              <w:t>曲轴上线</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2" w:type="dxa"/>
            <w:noWrap/>
            <w:vAlign w:val="center"/>
          </w:tcPr>
          <w:p>
            <w:pPr>
              <w:widowControl/>
              <w:jc w:val="center"/>
              <w:rPr>
                <w:kern w:val="0"/>
                <w:szCs w:val="21"/>
              </w:rPr>
            </w:pPr>
            <w:r>
              <w:rPr>
                <w:kern w:val="0"/>
                <w:szCs w:val="21"/>
              </w:rPr>
              <w:t>4</w:t>
            </w:r>
          </w:p>
        </w:tc>
        <w:tc>
          <w:tcPr>
            <w:tcW w:w="5896" w:type="dxa"/>
            <w:noWrap/>
            <w:vAlign w:val="center"/>
          </w:tcPr>
          <w:p>
            <w:pPr>
              <w:widowControl/>
              <w:jc w:val="left"/>
              <w:rPr>
                <w:kern w:val="0"/>
                <w:szCs w:val="21"/>
              </w:rPr>
            </w:pPr>
            <w:r>
              <w:rPr>
                <w:kern w:val="0"/>
                <w:szCs w:val="21"/>
              </w:rPr>
              <w:t>主轴承盖螺栓拧紧及检测</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2" w:type="dxa"/>
            <w:noWrap/>
            <w:vAlign w:val="center"/>
          </w:tcPr>
          <w:p>
            <w:pPr>
              <w:widowControl/>
              <w:jc w:val="center"/>
              <w:rPr>
                <w:kern w:val="0"/>
                <w:szCs w:val="21"/>
              </w:rPr>
            </w:pPr>
            <w:r>
              <w:rPr>
                <w:kern w:val="0"/>
                <w:szCs w:val="21"/>
              </w:rPr>
              <w:t>5</w:t>
            </w:r>
          </w:p>
        </w:tc>
        <w:tc>
          <w:tcPr>
            <w:tcW w:w="5896" w:type="dxa"/>
            <w:noWrap/>
            <w:vAlign w:val="center"/>
          </w:tcPr>
          <w:p>
            <w:pPr>
              <w:widowControl/>
              <w:jc w:val="left"/>
              <w:rPr>
                <w:kern w:val="0"/>
                <w:szCs w:val="21"/>
              </w:rPr>
            </w:pPr>
            <w:r>
              <w:rPr>
                <w:kern w:val="0"/>
                <w:szCs w:val="21"/>
              </w:rPr>
              <w:t>活塞连杆总成装配机器人工作站</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rPr>
          <w:trHeight w:val="482" w:hRule="atLeast"/>
          <w:jc w:val="center"/>
        </w:trPr>
        <w:tc>
          <w:tcPr>
            <w:tcW w:w="702" w:type="dxa"/>
            <w:noWrap/>
            <w:vAlign w:val="center"/>
          </w:tcPr>
          <w:p>
            <w:pPr>
              <w:widowControl/>
              <w:jc w:val="center"/>
              <w:rPr>
                <w:kern w:val="0"/>
                <w:szCs w:val="21"/>
              </w:rPr>
            </w:pPr>
            <w:r>
              <w:rPr>
                <w:kern w:val="0"/>
                <w:szCs w:val="21"/>
              </w:rPr>
              <w:t>6</w:t>
            </w:r>
          </w:p>
        </w:tc>
        <w:tc>
          <w:tcPr>
            <w:tcW w:w="5896" w:type="dxa"/>
            <w:noWrap/>
            <w:vAlign w:val="center"/>
          </w:tcPr>
          <w:p>
            <w:pPr>
              <w:widowControl/>
              <w:jc w:val="left"/>
              <w:rPr>
                <w:kern w:val="0"/>
                <w:szCs w:val="21"/>
              </w:rPr>
            </w:pPr>
            <w:r>
              <w:rPr>
                <w:kern w:val="0"/>
                <w:szCs w:val="21"/>
              </w:rPr>
              <w:t>连杆螺栓拧紧及检测设备</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2" w:type="dxa"/>
            <w:noWrap/>
            <w:vAlign w:val="center"/>
          </w:tcPr>
          <w:p>
            <w:pPr>
              <w:widowControl/>
              <w:jc w:val="center"/>
              <w:rPr>
                <w:kern w:val="0"/>
                <w:szCs w:val="21"/>
              </w:rPr>
            </w:pPr>
            <w:r>
              <w:rPr>
                <w:kern w:val="0"/>
                <w:szCs w:val="21"/>
              </w:rPr>
              <w:t>7</w:t>
            </w:r>
          </w:p>
        </w:tc>
        <w:tc>
          <w:tcPr>
            <w:tcW w:w="5896" w:type="dxa"/>
            <w:noWrap/>
            <w:vAlign w:val="center"/>
          </w:tcPr>
          <w:p>
            <w:pPr>
              <w:widowControl/>
              <w:jc w:val="left"/>
              <w:rPr>
                <w:kern w:val="0"/>
                <w:szCs w:val="21"/>
              </w:rPr>
            </w:pPr>
            <w:r>
              <w:rPr>
                <w:kern w:val="0"/>
                <w:szCs w:val="21"/>
              </w:rPr>
              <w:t>缸盖/气门室罩盖合件上线</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02" w:type="dxa"/>
            <w:noWrap/>
            <w:vAlign w:val="center"/>
          </w:tcPr>
          <w:p>
            <w:pPr>
              <w:widowControl/>
              <w:jc w:val="center"/>
              <w:rPr>
                <w:kern w:val="0"/>
                <w:szCs w:val="21"/>
              </w:rPr>
            </w:pPr>
            <w:r>
              <w:rPr>
                <w:kern w:val="0"/>
                <w:szCs w:val="21"/>
              </w:rPr>
              <w:t>8</w:t>
            </w:r>
          </w:p>
        </w:tc>
        <w:tc>
          <w:tcPr>
            <w:tcW w:w="5896" w:type="dxa"/>
            <w:noWrap/>
            <w:vAlign w:val="center"/>
          </w:tcPr>
          <w:p>
            <w:pPr>
              <w:widowControl/>
              <w:jc w:val="left"/>
              <w:rPr>
                <w:kern w:val="0"/>
                <w:szCs w:val="21"/>
              </w:rPr>
            </w:pPr>
            <w:r>
              <w:rPr>
                <w:kern w:val="0"/>
                <w:szCs w:val="21"/>
              </w:rPr>
              <w:t>缸盖螺栓拧紧</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2" w:type="dxa"/>
            <w:noWrap/>
            <w:vAlign w:val="center"/>
          </w:tcPr>
          <w:p>
            <w:pPr>
              <w:widowControl/>
              <w:jc w:val="center"/>
              <w:rPr>
                <w:kern w:val="0"/>
                <w:szCs w:val="21"/>
              </w:rPr>
            </w:pPr>
            <w:r>
              <w:rPr>
                <w:kern w:val="0"/>
                <w:szCs w:val="21"/>
              </w:rPr>
              <w:t>9</w:t>
            </w:r>
          </w:p>
        </w:tc>
        <w:tc>
          <w:tcPr>
            <w:tcW w:w="5896" w:type="dxa"/>
            <w:noWrap/>
            <w:vAlign w:val="center"/>
          </w:tcPr>
          <w:p>
            <w:pPr>
              <w:widowControl/>
              <w:jc w:val="left"/>
              <w:rPr>
                <w:kern w:val="0"/>
                <w:szCs w:val="21"/>
              </w:rPr>
            </w:pPr>
            <w:r>
              <w:rPr>
                <w:kern w:val="0"/>
                <w:szCs w:val="21"/>
              </w:rPr>
              <w:t>气门室罩盖涂胶</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2" w:type="dxa"/>
            <w:noWrap/>
            <w:vAlign w:val="center"/>
          </w:tcPr>
          <w:p>
            <w:pPr>
              <w:widowControl/>
              <w:jc w:val="center"/>
              <w:rPr>
                <w:kern w:val="0"/>
                <w:szCs w:val="21"/>
              </w:rPr>
            </w:pPr>
            <w:r>
              <w:rPr>
                <w:kern w:val="0"/>
                <w:szCs w:val="21"/>
              </w:rPr>
              <w:t>10</w:t>
            </w:r>
          </w:p>
        </w:tc>
        <w:tc>
          <w:tcPr>
            <w:tcW w:w="5896" w:type="dxa"/>
            <w:noWrap/>
            <w:vAlign w:val="center"/>
          </w:tcPr>
          <w:p>
            <w:pPr>
              <w:widowControl/>
              <w:jc w:val="left"/>
              <w:rPr>
                <w:kern w:val="0"/>
                <w:szCs w:val="21"/>
              </w:rPr>
            </w:pPr>
            <w:r>
              <w:rPr>
                <w:kern w:val="0"/>
                <w:szCs w:val="21"/>
              </w:rPr>
              <w:t>气门室罩盖拧紧</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2" w:type="dxa"/>
            <w:noWrap/>
            <w:vAlign w:val="center"/>
          </w:tcPr>
          <w:p>
            <w:pPr>
              <w:widowControl/>
              <w:jc w:val="center"/>
              <w:rPr>
                <w:kern w:val="0"/>
                <w:szCs w:val="21"/>
              </w:rPr>
            </w:pPr>
            <w:r>
              <w:rPr>
                <w:kern w:val="0"/>
                <w:szCs w:val="21"/>
              </w:rPr>
              <w:t>11</w:t>
            </w:r>
          </w:p>
        </w:tc>
        <w:tc>
          <w:tcPr>
            <w:tcW w:w="5896" w:type="dxa"/>
            <w:noWrap/>
            <w:vAlign w:val="center"/>
          </w:tcPr>
          <w:p>
            <w:pPr>
              <w:widowControl/>
              <w:jc w:val="left"/>
              <w:rPr>
                <w:kern w:val="0"/>
                <w:szCs w:val="21"/>
              </w:rPr>
            </w:pPr>
            <w:r>
              <w:rPr>
                <w:kern w:val="0"/>
                <w:szCs w:val="21"/>
              </w:rPr>
              <w:t>链条罩盖结合面涂胶及检测</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02" w:type="dxa"/>
            <w:noWrap/>
            <w:vAlign w:val="center"/>
          </w:tcPr>
          <w:p>
            <w:pPr>
              <w:widowControl/>
              <w:jc w:val="center"/>
              <w:rPr>
                <w:kern w:val="0"/>
                <w:szCs w:val="21"/>
              </w:rPr>
            </w:pPr>
            <w:r>
              <w:rPr>
                <w:kern w:val="0"/>
                <w:szCs w:val="21"/>
              </w:rPr>
              <w:t>12</w:t>
            </w:r>
          </w:p>
        </w:tc>
        <w:tc>
          <w:tcPr>
            <w:tcW w:w="5896" w:type="dxa"/>
            <w:noWrap/>
            <w:vAlign w:val="center"/>
          </w:tcPr>
          <w:p>
            <w:pPr>
              <w:widowControl/>
              <w:jc w:val="left"/>
              <w:rPr>
                <w:kern w:val="0"/>
                <w:szCs w:val="21"/>
              </w:rPr>
            </w:pPr>
            <w:r>
              <w:rPr>
                <w:kern w:val="0"/>
                <w:szCs w:val="21"/>
              </w:rPr>
              <w:t>链条罩盖螺栓拧紧</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2" w:type="dxa"/>
            <w:noWrap/>
            <w:vAlign w:val="center"/>
          </w:tcPr>
          <w:p>
            <w:pPr>
              <w:widowControl/>
              <w:jc w:val="center"/>
              <w:rPr>
                <w:kern w:val="0"/>
                <w:szCs w:val="21"/>
              </w:rPr>
            </w:pPr>
            <w:r>
              <w:rPr>
                <w:kern w:val="0"/>
                <w:szCs w:val="21"/>
              </w:rPr>
              <w:t>13</w:t>
            </w:r>
          </w:p>
        </w:tc>
        <w:tc>
          <w:tcPr>
            <w:tcW w:w="5896" w:type="dxa"/>
            <w:noWrap/>
            <w:vAlign w:val="center"/>
          </w:tcPr>
          <w:p>
            <w:pPr>
              <w:widowControl/>
              <w:jc w:val="left"/>
              <w:rPr>
                <w:kern w:val="0"/>
                <w:szCs w:val="21"/>
              </w:rPr>
            </w:pPr>
            <w:r>
              <w:rPr>
                <w:kern w:val="0"/>
                <w:szCs w:val="21"/>
              </w:rPr>
              <w:t>拧紧中心螺栓，皮带轮螺栓</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2" w:type="dxa"/>
            <w:noWrap/>
            <w:vAlign w:val="center"/>
          </w:tcPr>
          <w:p>
            <w:pPr>
              <w:widowControl/>
              <w:jc w:val="center"/>
              <w:rPr>
                <w:kern w:val="0"/>
                <w:szCs w:val="21"/>
              </w:rPr>
            </w:pPr>
            <w:r>
              <w:rPr>
                <w:kern w:val="0"/>
                <w:szCs w:val="21"/>
              </w:rPr>
              <w:t>14</w:t>
            </w:r>
          </w:p>
        </w:tc>
        <w:tc>
          <w:tcPr>
            <w:tcW w:w="5896" w:type="dxa"/>
            <w:noWrap/>
            <w:vAlign w:val="center"/>
          </w:tcPr>
          <w:p>
            <w:pPr>
              <w:widowControl/>
              <w:jc w:val="left"/>
              <w:rPr>
                <w:kern w:val="0"/>
                <w:szCs w:val="21"/>
              </w:rPr>
            </w:pPr>
            <w:r>
              <w:rPr>
                <w:kern w:val="0"/>
                <w:szCs w:val="21"/>
              </w:rPr>
              <w:t>后油封座及后齿轮室涂胶及检测</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02" w:type="dxa"/>
            <w:noWrap/>
            <w:vAlign w:val="center"/>
          </w:tcPr>
          <w:p>
            <w:pPr>
              <w:widowControl/>
              <w:jc w:val="center"/>
              <w:rPr>
                <w:kern w:val="0"/>
                <w:szCs w:val="21"/>
              </w:rPr>
            </w:pPr>
            <w:r>
              <w:rPr>
                <w:kern w:val="0"/>
                <w:szCs w:val="21"/>
              </w:rPr>
              <w:t>15</w:t>
            </w:r>
          </w:p>
        </w:tc>
        <w:tc>
          <w:tcPr>
            <w:tcW w:w="5896" w:type="dxa"/>
            <w:noWrap/>
            <w:vAlign w:val="center"/>
          </w:tcPr>
          <w:p>
            <w:pPr>
              <w:widowControl/>
              <w:jc w:val="left"/>
              <w:rPr>
                <w:kern w:val="0"/>
                <w:szCs w:val="21"/>
              </w:rPr>
            </w:pPr>
            <w:r>
              <w:rPr>
                <w:kern w:val="0"/>
                <w:szCs w:val="21"/>
              </w:rPr>
              <w:t>后油封试漏</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2" w:type="dxa"/>
            <w:noWrap/>
            <w:vAlign w:val="center"/>
          </w:tcPr>
          <w:p>
            <w:pPr>
              <w:widowControl/>
              <w:jc w:val="center"/>
              <w:rPr>
                <w:kern w:val="0"/>
                <w:szCs w:val="21"/>
              </w:rPr>
            </w:pPr>
            <w:r>
              <w:rPr>
                <w:kern w:val="0"/>
                <w:szCs w:val="21"/>
              </w:rPr>
              <w:t>16</w:t>
            </w:r>
          </w:p>
        </w:tc>
        <w:tc>
          <w:tcPr>
            <w:tcW w:w="5896" w:type="dxa"/>
            <w:noWrap/>
            <w:vAlign w:val="center"/>
          </w:tcPr>
          <w:p>
            <w:pPr>
              <w:widowControl/>
              <w:jc w:val="left"/>
              <w:rPr>
                <w:kern w:val="0"/>
                <w:szCs w:val="21"/>
              </w:rPr>
            </w:pPr>
            <w:r>
              <w:rPr>
                <w:kern w:val="0"/>
                <w:szCs w:val="21"/>
              </w:rPr>
              <w:t>缸体翻转及油底壳涂胶</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2" w:type="dxa"/>
            <w:noWrap/>
            <w:vAlign w:val="center"/>
          </w:tcPr>
          <w:p>
            <w:pPr>
              <w:widowControl/>
              <w:jc w:val="center"/>
              <w:rPr>
                <w:kern w:val="0"/>
                <w:szCs w:val="21"/>
              </w:rPr>
            </w:pPr>
            <w:r>
              <w:rPr>
                <w:kern w:val="0"/>
                <w:szCs w:val="21"/>
              </w:rPr>
              <w:t>17</w:t>
            </w:r>
          </w:p>
        </w:tc>
        <w:tc>
          <w:tcPr>
            <w:tcW w:w="5896" w:type="dxa"/>
            <w:noWrap/>
            <w:vAlign w:val="center"/>
          </w:tcPr>
          <w:p>
            <w:pPr>
              <w:widowControl/>
              <w:jc w:val="left"/>
              <w:rPr>
                <w:kern w:val="0"/>
                <w:szCs w:val="21"/>
              </w:rPr>
            </w:pPr>
            <w:r>
              <w:rPr>
                <w:kern w:val="0"/>
                <w:szCs w:val="21"/>
              </w:rPr>
              <w:t>油底壳拧紧</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2" w:type="dxa"/>
            <w:noWrap/>
            <w:vAlign w:val="center"/>
          </w:tcPr>
          <w:p>
            <w:pPr>
              <w:widowControl/>
              <w:jc w:val="center"/>
              <w:rPr>
                <w:kern w:val="0"/>
                <w:szCs w:val="21"/>
              </w:rPr>
            </w:pPr>
            <w:r>
              <w:rPr>
                <w:kern w:val="0"/>
                <w:szCs w:val="21"/>
              </w:rPr>
              <w:t>18</w:t>
            </w:r>
          </w:p>
        </w:tc>
        <w:tc>
          <w:tcPr>
            <w:tcW w:w="5896" w:type="dxa"/>
            <w:noWrap/>
            <w:vAlign w:val="center"/>
          </w:tcPr>
          <w:p>
            <w:pPr>
              <w:widowControl/>
              <w:jc w:val="left"/>
              <w:rPr>
                <w:kern w:val="0"/>
                <w:szCs w:val="21"/>
              </w:rPr>
            </w:pPr>
            <w:r>
              <w:rPr>
                <w:kern w:val="0"/>
                <w:szCs w:val="21"/>
              </w:rPr>
              <w:t>缸体翻转机</w:t>
            </w:r>
          </w:p>
        </w:tc>
        <w:tc>
          <w:tcPr>
            <w:tcW w:w="880" w:type="dxa"/>
            <w:noWrap/>
            <w:vAlign w:val="center"/>
          </w:tcPr>
          <w:p>
            <w:pPr>
              <w:widowControl/>
              <w:jc w:val="center"/>
              <w:rPr>
                <w:kern w:val="0"/>
                <w:szCs w:val="21"/>
              </w:rPr>
            </w:pPr>
            <w:r>
              <w:rPr>
                <w:kern w:val="0"/>
                <w:szCs w:val="21"/>
              </w:rPr>
              <w:t>2</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2" w:type="dxa"/>
            <w:noWrap/>
            <w:vAlign w:val="center"/>
          </w:tcPr>
          <w:p>
            <w:pPr>
              <w:widowControl/>
              <w:jc w:val="center"/>
              <w:rPr>
                <w:kern w:val="0"/>
                <w:szCs w:val="21"/>
              </w:rPr>
            </w:pPr>
            <w:r>
              <w:rPr>
                <w:kern w:val="0"/>
                <w:szCs w:val="21"/>
              </w:rPr>
              <w:t>19</w:t>
            </w:r>
          </w:p>
        </w:tc>
        <w:tc>
          <w:tcPr>
            <w:tcW w:w="5896" w:type="dxa"/>
            <w:noWrap/>
            <w:vAlign w:val="center"/>
          </w:tcPr>
          <w:p>
            <w:pPr>
              <w:widowControl/>
              <w:jc w:val="left"/>
              <w:rPr>
                <w:kern w:val="0"/>
                <w:szCs w:val="21"/>
              </w:rPr>
            </w:pPr>
            <w:r>
              <w:rPr>
                <w:kern w:val="0"/>
                <w:szCs w:val="21"/>
              </w:rPr>
              <w:t>飞轮壳安装面涂胶</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02" w:type="dxa"/>
            <w:noWrap/>
            <w:vAlign w:val="center"/>
          </w:tcPr>
          <w:p>
            <w:pPr>
              <w:widowControl/>
              <w:jc w:val="center"/>
              <w:rPr>
                <w:kern w:val="0"/>
                <w:szCs w:val="21"/>
              </w:rPr>
            </w:pPr>
            <w:r>
              <w:rPr>
                <w:kern w:val="0"/>
                <w:szCs w:val="21"/>
              </w:rPr>
              <w:t>20</w:t>
            </w:r>
          </w:p>
        </w:tc>
        <w:tc>
          <w:tcPr>
            <w:tcW w:w="5896" w:type="dxa"/>
            <w:noWrap/>
            <w:vAlign w:val="center"/>
          </w:tcPr>
          <w:p>
            <w:pPr>
              <w:widowControl/>
              <w:jc w:val="left"/>
              <w:rPr>
                <w:kern w:val="0"/>
                <w:szCs w:val="21"/>
              </w:rPr>
            </w:pPr>
            <w:r>
              <w:rPr>
                <w:kern w:val="0"/>
                <w:szCs w:val="21"/>
              </w:rPr>
              <w:t>油路试漏</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2" w:type="dxa"/>
            <w:noWrap/>
            <w:vAlign w:val="center"/>
          </w:tcPr>
          <w:p>
            <w:pPr>
              <w:widowControl/>
              <w:jc w:val="center"/>
              <w:rPr>
                <w:kern w:val="0"/>
                <w:szCs w:val="21"/>
              </w:rPr>
            </w:pPr>
            <w:r>
              <w:rPr>
                <w:kern w:val="0"/>
                <w:szCs w:val="21"/>
              </w:rPr>
              <w:t>21</w:t>
            </w:r>
          </w:p>
        </w:tc>
        <w:tc>
          <w:tcPr>
            <w:tcW w:w="5896" w:type="dxa"/>
            <w:noWrap/>
            <w:vAlign w:val="center"/>
          </w:tcPr>
          <w:p>
            <w:pPr>
              <w:widowControl/>
              <w:jc w:val="left"/>
              <w:rPr>
                <w:kern w:val="0"/>
                <w:szCs w:val="21"/>
              </w:rPr>
            </w:pPr>
            <w:r>
              <w:rPr>
                <w:kern w:val="0"/>
                <w:szCs w:val="21"/>
              </w:rPr>
              <w:t>机油加注</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2" w:type="dxa"/>
            <w:noWrap/>
            <w:vAlign w:val="center"/>
          </w:tcPr>
          <w:p>
            <w:pPr>
              <w:widowControl/>
              <w:jc w:val="center"/>
              <w:rPr>
                <w:kern w:val="0"/>
                <w:szCs w:val="21"/>
              </w:rPr>
            </w:pPr>
            <w:r>
              <w:rPr>
                <w:kern w:val="0"/>
                <w:szCs w:val="21"/>
              </w:rPr>
              <w:t>22</w:t>
            </w:r>
          </w:p>
        </w:tc>
        <w:tc>
          <w:tcPr>
            <w:tcW w:w="5896" w:type="dxa"/>
            <w:noWrap/>
            <w:vAlign w:val="center"/>
          </w:tcPr>
          <w:p>
            <w:pPr>
              <w:widowControl/>
              <w:jc w:val="left"/>
              <w:rPr>
                <w:kern w:val="0"/>
                <w:szCs w:val="21"/>
              </w:rPr>
            </w:pPr>
            <w:r>
              <w:rPr>
                <w:kern w:val="0"/>
                <w:szCs w:val="21"/>
              </w:rPr>
              <w:t>轴承压装</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2" w:type="dxa"/>
            <w:noWrap/>
            <w:vAlign w:val="center"/>
          </w:tcPr>
          <w:p>
            <w:pPr>
              <w:widowControl/>
              <w:jc w:val="center"/>
              <w:rPr>
                <w:kern w:val="0"/>
                <w:szCs w:val="21"/>
              </w:rPr>
            </w:pPr>
            <w:r>
              <w:rPr>
                <w:kern w:val="0"/>
                <w:szCs w:val="21"/>
              </w:rPr>
              <w:t>23</w:t>
            </w:r>
          </w:p>
        </w:tc>
        <w:tc>
          <w:tcPr>
            <w:tcW w:w="5896" w:type="dxa"/>
            <w:noWrap/>
            <w:vAlign w:val="center"/>
          </w:tcPr>
          <w:p>
            <w:pPr>
              <w:widowControl/>
              <w:jc w:val="left"/>
              <w:rPr>
                <w:kern w:val="0"/>
                <w:szCs w:val="21"/>
              </w:rPr>
            </w:pPr>
            <w:r>
              <w:rPr>
                <w:kern w:val="0"/>
                <w:szCs w:val="21"/>
              </w:rPr>
              <w:t>飞轮螺栓拧紧</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24</w:t>
            </w:r>
          </w:p>
        </w:tc>
        <w:tc>
          <w:tcPr>
            <w:tcW w:w="5896" w:type="dxa"/>
            <w:noWrap/>
            <w:vAlign w:val="center"/>
          </w:tcPr>
          <w:p>
            <w:pPr>
              <w:widowControl/>
              <w:jc w:val="left"/>
              <w:rPr>
                <w:kern w:val="0"/>
                <w:szCs w:val="21"/>
              </w:rPr>
            </w:pPr>
            <w:r>
              <w:rPr>
                <w:kern w:val="0"/>
                <w:szCs w:val="21"/>
              </w:rPr>
              <w:t>压盘螺栓拧紧</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25</w:t>
            </w:r>
          </w:p>
        </w:tc>
        <w:tc>
          <w:tcPr>
            <w:tcW w:w="5896" w:type="dxa"/>
            <w:noWrap/>
            <w:vAlign w:val="center"/>
          </w:tcPr>
          <w:p>
            <w:pPr>
              <w:widowControl/>
              <w:jc w:val="left"/>
              <w:rPr>
                <w:kern w:val="0"/>
                <w:szCs w:val="21"/>
              </w:rPr>
            </w:pPr>
            <w:r>
              <w:rPr>
                <w:kern w:val="0"/>
                <w:szCs w:val="21"/>
              </w:rPr>
              <w:t>内装转外装机器人</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jc w:val="center"/>
        </w:trPr>
        <w:tc>
          <w:tcPr>
            <w:tcW w:w="702" w:type="dxa"/>
            <w:noWrap/>
            <w:vAlign w:val="center"/>
          </w:tcPr>
          <w:p>
            <w:pPr>
              <w:widowControl/>
              <w:jc w:val="center"/>
              <w:rPr>
                <w:kern w:val="0"/>
                <w:szCs w:val="21"/>
              </w:rPr>
            </w:pPr>
            <w:r>
              <w:rPr>
                <w:kern w:val="0"/>
                <w:szCs w:val="21"/>
              </w:rPr>
              <w:t>26</w:t>
            </w:r>
          </w:p>
        </w:tc>
        <w:tc>
          <w:tcPr>
            <w:tcW w:w="5896" w:type="dxa"/>
            <w:noWrap/>
            <w:vAlign w:val="center"/>
          </w:tcPr>
          <w:p>
            <w:pPr>
              <w:widowControl/>
              <w:jc w:val="left"/>
              <w:rPr>
                <w:kern w:val="0"/>
                <w:szCs w:val="21"/>
              </w:rPr>
            </w:pPr>
            <w:r>
              <w:rPr>
                <w:kern w:val="0"/>
                <w:szCs w:val="21"/>
              </w:rPr>
              <w:t>连杆盖旋松机</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27</w:t>
            </w:r>
          </w:p>
        </w:tc>
        <w:tc>
          <w:tcPr>
            <w:tcW w:w="5896" w:type="dxa"/>
            <w:noWrap/>
            <w:vAlign w:val="center"/>
          </w:tcPr>
          <w:p>
            <w:pPr>
              <w:widowControl/>
              <w:jc w:val="left"/>
              <w:rPr>
                <w:kern w:val="0"/>
                <w:szCs w:val="21"/>
              </w:rPr>
            </w:pPr>
            <w:r>
              <w:rPr>
                <w:kern w:val="0"/>
                <w:szCs w:val="21"/>
              </w:rPr>
              <w:t>活塞销卡簧压装设备</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28</w:t>
            </w:r>
          </w:p>
        </w:tc>
        <w:tc>
          <w:tcPr>
            <w:tcW w:w="5896" w:type="dxa"/>
            <w:noWrap/>
            <w:vAlign w:val="center"/>
          </w:tcPr>
          <w:p>
            <w:pPr>
              <w:widowControl/>
              <w:jc w:val="left"/>
              <w:rPr>
                <w:kern w:val="0"/>
                <w:szCs w:val="21"/>
              </w:rPr>
            </w:pPr>
            <w:r>
              <w:rPr>
                <w:kern w:val="0"/>
                <w:szCs w:val="21"/>
              </w:rPr>
              <w:t>气门油封压装</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29</w:t>
            </w:r>
          </w:p>
        </w:tc>
        <w:tc>
          <w:tcPr>
            <w:tcW w:w="5896" w:type="dxa"/>
            <w:noWrap/>
            <w:vAlign w:val="center"/>
          </w:tcPr>
          <w:p>
            <w:pPr>
              <w:widowControl/>
              <w:jc w:val="left"/>
              <w:rPr>
                <w:kern w:val="0"/>
                <w:szCs w:val="21"/>
              </w:rPr>
            </w:pPr>
            <w:r>
              <w:rPr>
                <w:kern w:val="0"/>
                <w:szCs w:val="21"/>
              </w:rPr>
              <w:t>气门锁夹压装</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30</w:t>
            </w:r>
          </w:p>
        </w:tc>
        <w:tc>
          <w:tcPr>
            <w:tcW w:w="5896" w:type="dxa"/>
            <w:noWrap/>
            <w:vAlign w:val="center"/>
          </w:tcPr>
          <w:p>
            <w:pPr>
              <w:widowControl/>
              <w:jc w:val="left"/>
              <w:rPr>
                <w:kern w:val="0"/>
                <w:szCs w:val="21"/>
              </w:rPr>
            </w:pPr>
            <w:r>
              <w:rPr>
                <w:kern w:val="0"/>
                <w:szCs w:val="21"/>
              </w:rPr>
              <w:t>气门锁夹检测</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31</w:t>
            </w:r>
          </w:p>
        </w:tc>
        <w:tc>
          <w:tcPr>
            <w:tcW w:w="5896" w:type="dxa"/>
            <w:noWrap/>
            <w:vAlign w:val="center"/>
          </w:tcPr>
          <w:p>
            <w:pPr>
              <w:widowControl/>
              <w:jc w:val="left"/>
              <w:rPr>
                <w:kern w:val="0"/>
                <w:szCs w:val="21"/>
              </w:rPr>
            </w:pPr>
            <w:r>
              <w:rPr>
                <w:kern w:val="0"/>
                <w:szCs w:val="21"/>
              </w:rPr>
              <w:t>气门拍打</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32</w:t>
            </w:r>
          </w:p>
        </w:tc>
        <w:tc>
          <w:tcPr>
            <w:tcW w:w="5896" w:type="dxa"/>
            <w:noWrap/>
            <w:vAlign w:val="center"/>
          </w:tcPr>
          <w:p>
            <w:pPr>
              <w:widowControl/>
              <w:jc w:val="left"/>
              <w:rPr>
                <w:kern w:val="0"/>
                <w:szCs w:val="21"/>
              </w:rPr>
            </w:pPr>
            <w:r>
              <w:rPr>
                <w:kern w:val="0"/>
                <w:szCs w:val="21"/>
              </w:rPr>
              <w:t>气门试漏</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33</w:t>
            </w:r>
          </w:p>
        </w:tc>
        <w:tc>
          <w:tcPr>
            <w:tcW w:w="5896" w:type="dxa"/>
            <w:noWrap/>
            <w:vAlign w:val="center"/>
          </w:tcPr>
          <w:p>
            <w:pPr>
              <w:widowControl/>
              <w:jc w:val="left"/>
              <w:rPr>
                <w:kern w:val="0"/>
                <w:szCs w:val="21"/>
              </w:rPr>
            </w:pPr>
            <w:r>
              <w:rPr>
                <w:kern w:val="0"/>
                <w:szCs w:val="21"/>
              </w:rPr>
              <w:t>线外油封压机及检测</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34</w:t>
            </w:r>
          </w:p>
        </w:tc>
        <w:tc>
          <w:tcPr>
            <w:tcW w:w="5896" w:type="dxa"/>
            <w:noWrap/>
            <w:vAlign w:val="center"/>
          </w:tcPr>
          <w:p>
            <w:pPr>
              <w:widowControl/>
              <w:jc w:val="left"/>
              <w:rPr>
                <w:kern w:val="0"/>
                <w:szCs w:val="21"/>
              </w:rPr>
            </w:pPr>
            <w:r>
              <w:rPr>
                <w:kern w:val="0"/>
                <w:szCs w:val="21"/>
              </w:rPr>
              <w:t>线外轴承压机</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35</w:t>
            </w:r>
          </w:p>
        </w:tc>
        <w:tc>
          <w:tcPr>
            <w:tcW w:w="5896" w:type="dxa"/>
            <w:noWrap/>
            <w:vAlign w:val="center"/>
          </w:tcPr>
          <w:p>
            <w:pPr>
              <w:widowControl/>
              <w:jc w:val="left"/>
              <w:rPr>
                <w:kern w:val="0"/>
                <w:szCs w:val="21"/>
              </w:rPr>
            </w:pPr>
            <w:r>
              <w:rPr>
                <w:kern w:val="0"/>
                <w:szCs w:val="21"/>
              </w:rPr>
              <w:t>线外条码打印机</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36</w:t>
            </w:r>
          </w:p>
        </w:tc>
        <w:tc>
          <w:tcPr>
            <w:tcW w:w="5896" w:type="dxa"/>
            <w:noWrap/>
            <w:vAlign w:val="center"/>
          </w:tcPr>
          <w:p>
            <w:pPr>
              <w:widowControl/>
              <w:jc w:val="left"/>
              <w:rPr>
                <w:kern w:val="0"/>
                <w:szCs w:val="21"/>
              </w:rPr>
            </w:pPr>
            <w:r>
              <w:rPr>
                <w:kern w:val="0"/>
                <w:szCs w:val="21"/>
              </w:rPr>
              <w:t>线外激光打标机</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37</w:t>
            </w:r>
          </w:p>
        </w:tc>
        <w:tc>
          <w:tcPr>
            <w:tcW w:w="5896" w:type="dxa"/>
            <w:noWrap/>
            <w:vAlign w:val="center"/>
          </w:tcPr>
          <w:p>
            <w:pPr>
              <w:widowControl/>
              <w:jc w:val="left"/>
              <w:rPr>
                <w:kern w:val="0"/>
                <w:szCs w:val="21"/>
              </w:rPr>
            </w:pPr>
            <w:r>
              <w:rPr>
                <w:kern w:val="0"/>
                <w:szCs w:val="21"/>
              </w:rPr>
              <w:t>发动机冷试台架</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38</w:t>
            </w:r>
          </w:p>
        </w:tc>
        <w:tc>
          <w:tcPr>
            <w:tcW w:w="5896" w:type="dxa"/>
            <w:noWrap/>
            <w:vAlign w:val="center"/>
          </w:tcPr>
          <w:p>
            <w:pPr>
              <w:widowControl/>
              <w:jc w:val="left"/>
              <w:rPr>
                <w:kern w:val="0"/>
                <w:szCs w:val="21"/>
              </w:rPr>
            </w:pPr>
            <w:r>
              <w:rPr>
                <w:kern w:val="0"/>
                <w:szCs w:val="21"/>
              </w:rPr>
              <w:t>发动机电控系统检测设备</w:t>
            </w:r>
          </w:p>
        </w:tc>
        <w:tc>
          <w:tcPr>
            <w:tcW w:w="880" w:type="dxa"/>
            <w:noWrap/>
            <w:vAlign w:val="center"/>
          </w:tcPr>
          <w:p>
            <w:pPr>
              <w:widowControl/>
              <w:jc w:val="center"/>
              <w:rPr>
                <w:kern w:val="0"/>
                <w:szCs w:val="21"/>
              </w:rPr>
            </w:pPr>
            <w:r>
              <w:rPr>
                <w:kern w:val="0"/>
                <w:szCs w:val="21"/>
              </w:rPr>
              <w:t>1</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center"/>
              <w:rPr>
                <w:kern w:val="0"/>
                <w:szCs w:val="21"/>
              </w:rPr>
            </w:pPr>
            <w:r>
              <w:rPr>
                <w:kern w:val="0"/>
                <w:szCs w:val="21"/>
              </w:rPr>
              <w:t>39</w:t>
            </w:r>
          </w:p>
        </w:tc>
        <w:tc>
          <w:tcPr>
            <w:tcW w:w="5896" w:type="dxa"/>
            <w:noWrap/>
            <w:vAlign w:val="center"/>
          </w:tcPr>
          <w:p>
            <w:pPr>
              <w:widowControl/>
              <w:jc w:val="left"/>
              <w:rPr>
                <w:kern w:val="0"/>
                <w:szCs w:val="21"/>
              </w:rPr>
            </w:pPr>
            <w:r>
              <w:rPr>
                <w:kern w:val="0"/>
                <w:szCs w:val="21"/>
              </w:rPr>
              <w:t>发动机热试台架</w:t>
            </w:r>
          </w:p>
        </w:tc>
        <w:tc>
          <w:tcPr>
            <w:tcW w:w="880" w:type="dxa"/>
            <w:noWrap/>
            <w:vAlign w:val="center"/>
          </w:tcPr>
          <w:p>
            <w:pPr>
              <w:widowControl/>
              <w:jc w:val="center"/>
              <w:rPr>
                <w:kern w:val="0"/>
                <w:szCs w:val="21"/>
              </w:rPr>
            </w:pPr>
            <w:r>
              <w:rPr>
                <w:kern w:val="0"/>
                <w:szCs w:val="21"/>
              </w:rPr>
              <w:t>2</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2" w:type="dxa"/>
            <w:noWrap/>
            <w:vAlign w:val="center"/>
          </w:tcPr>
          <w:p>
            <w:pPr>
              <w:widowControl/>
              <w:jc w:val="left"/>
              <w:rPr>
                <w:kern w:val="0"/>
                <w:szCs w:val="21"/>
              </w:rPr>
            </w:pPr>
            <w:r>
              <w:rPr>
                <w:kern w:val="0"/>
                <w:szCs w:val="21"/>
              </w:rPr>
              <w:t>　</w:t>
            </w:r>
          </w:p>
        </w:tc>
        <w:tc>
          <w:tcPr>
            <w:tcW w:w="5896" w:type="dxa"/>
            <w:noWrap/>
            <w:vAlign w:val="center"/>
          </w:tcPr>
          <w:p>
            <w:pPr>
              <w:widowControl/>
              <w:jc w:val="left"/>
              <w:rPr>
                <w:kern w:val="0"/>
                <w:szCs w:val="21"/>
              </w:rPr>
            </w:pPr>
            <w:r>
              <w:rPr>
                <w:kern w:val="0"/>
                <w:szCs w:val="21"/>
              </w:rPr>
              <w:t>　其他</w:t>
            </w:r>
          </w:p>
        </w:tc>
        <w:tc>
          <w:tcPr>
            <w:tcW w:w="880" w:type="dxa"/>
            <w:noWrap/>
            <w:vAlign w:val="center"/>
          </w:tcPr>
          <w:p>
            <w:pPr>
              <w:widowControl/>
              <w:jc w:val="center"/>
              <w:rPr>
                <w:kern w:val="0"/>
                <w:szCs w:val="21"/>
              </w:rPr>
            </w:pPr>
            <w:r>
              <w:rPr>
                <w:kern w:val="0"/>
                <w:szCs w:val="21"/>
              </w:rPr>
              <w:t>　</w:t>
            </w:r>
          </w:p>
        </w:tc>
        <w:tc>
          <w:tcPr>
            <w:tcW w:w="1760"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02" w:type="dxa"/>
            <w:noWrap/>
            <w:vAlign w:val="center"/>
          </w:tcPr>
          <w:p>
            <w:pPr>
              <w:widowControl/>
              <w:jc w:val="left"/>
              <w:rPr>
                <w:b/>
                <w:kern w:val="0"/>
                <w:szCs w:val="21"/>
              </w:rPr>
            </w:pPr>
            <w:r>
              <w:rPr>
                <w:b/>
                <w:kern w:val="0"/>
                <w:szCs w:val="21"/>
              </w:rPr>
              <w:t>　</w:t>
            </w:r>
          </w:p>
        </w:tc>
        <w:tc>
          <w:tcPr>
            <w:tcW w:w="5896" w:type="dxa"/>
            <w:noWrap/>
            <w:vAlign w:val="center"/>
          </w:tcPr>
          <w:p>
            <w:pPr>
              <w:widowControl/>
              <w:jc w:val="left"/>
              <w:rPr>
                <w:b/>
                <w:kern w:val="0"/>
                <w:szCs w:val="21"/>
              </w:rPr>
            </w:pPr>
            <w:r>
              <w:rPr>
                <w:b/>
                <w:kern w:val="0"/>
                <w:szCs w:val="21"/>
              </w:rPr>
              <w:t>合计</w:t>
            </w:r>
          </w:p>
        </w:tc>
        <w:tc>
          <w:tcPr>
            <w:tcW w:w="880" w:type="dxa"/>
            <w:noWrap/>
            <w:vAlign w:val="center"/>
          </w:tcPr>
          <w:p>
            <w:pPr>
              <w:widowControl/>
              <w:jc w:val="center"/>
              <w:rPr>
                <w:b/>
                <w:kern w:val="0"/>
                <w:szCs w:val="21"/>
              </w:rPr>
            </w:pPr>
            <w:r>
              <w:rPr>
                <w:b/>
                <w:kern w:val="0"/>
                <w:szCs w:val="21"/>
              </w:rPr>
              <w:t>　</w:t>
            </w:r>
          </w:p>
        </w:tc>
        <w:tc>
          <w:tcPr>
            <w:tcW w:w="1760" w:type="dxa"/>
            <w:noWrap/>
            <w:vAlign w:val="center"/>
          </w:tcPr>
          <w:p>
            <w:pPr>
              <w:widowControl/>
              <w:rPr>
                <w:b/>
                <w:kern w:val="0"/>
                <w:szCs w:val="21"/>
              </w:rPr>
            </w:pPr>
          </w:p>
        </w:tc>
      </w:tr>
    </w:tbl>
    <w:p>
      <w:pPr>
        <w:spacing w:line="360" w:lineRule="auto"/>
        <w:ind w:firstLine="480" w:firstLineChars="200"/>
        <w:jc w:val="center"/>
        <w:rPr>
          <w:kern w:val="0"/>
          <w:sz w:val="24"/>
        </w:rPr>
      </w:pPr>
      <w:r>
        <w:rPr>
          <w:rFonts w:hint="eastAsia"/>
          <w:kern w:val="0"/>
          <w:sz w:val="24"/>
        </w:rPr>
        <w:t>表</w:t>
      </w:r>
      <w:r>
        <w:rPr>
          <w:kern w:val="0"/>
          <w:sz w:val="24"/>
        </w:rPr>
        <w:t>2</w:t>
      </w:r>
      <w:r>
        <w:rPr>
          <w:rFonts w:hint="eastAsia"/>
          <w:kern w:val="0"/>
          <w:sz w:val="24"/>
        </w:rPr>
        <w:t>-17 G系列汽油后装设备明细表</w:t>
      </w:r>
    </w:p>
    <w:tbl>
      <w:tblPr>
        <w:tblStyle w:val="52"/>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6718"/>
        <w:gridCol w:w="725"/>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697" w:type="dxa"/>
            <w:vMerge w:val="restart"/>
            <w:noWrap/>
            <w:vAlign w:val="center"/>
          </w:tcPr>
          <w:p>
            <w:pPr>
              <w:widowControl/>
              <w:jc w:val="center"/>
              <w:rPr>
                <w:b/>
                <w:bCs/>
                <w:kern w:val="0"/>
                <w:szCs w:val="21"/>
              </w:rPr>
            </w:pPr>
            <w:r>
              <w:rPr>
                <w:b/>
                <w:bCs/>
                <w:kern w:val="0"/>
                <w:szCs w:val="21"/>
              </w:rPr>
              <w:t>序号</w:t>
            </w:r>
          </w:p>
        </w:tc>
        <w:tc>
          <w:tcPr>
            <w:tcW w:w="6718" w:type="dxa"/>
            <w:vMerge w:val="restart"/>
            <w:noWrap/>
            <w:vAlign w:val="center"/>
          </w:tcPr>
          <w:p>
            <w:pPr>
              <w:widowControl/>
              <w:jc w:val="center"/>
              <w:rPr>
                <w:b/>
                <w:bCs/>
                <w:kern w:val="0"/>
                <w:szCs w:val="21"/>
              </w:rPr>
            </w:pPr>
            <w:r>
              <w:rPr>
                <w:b/>
                <w:bCs/>
                <w:kern w:val="0"/>
                <w:szCs w:val="21"/>
              </w:rPr>
              <w:t>设备名称及型号</w:t>
            </w:r>
          </w:p>
        </w:tc>
        <w:tc>
          <w:tcPr>
            <w:tcW w:w="725" w:type="dxa"/>
            <w:vMerge w:val="restart"/>
            <w:noWrap/>
            <w:vAlign w:val="center"/>
          </w:tcPr>
          <w:p>
            <w:pPr>
              <w:widowControl/>
              <w:jc w:val="center"/>
              <w:rPr>
                <w:b/>
                <w:bCs/>
                <w:kern w:val="0"/>
                <w:szCs w:val="21"/>
              </w:rPr>
            </w:pPr>
            <w:r>
              <w:rPr>
                <w:b/>
                <w:bCs/>
                <w:kern w:val="0"/>
                <w:szCs w:val="21"/>
              </w:rPr>
              <w:t>数量</w:t>
            </w:r>
          </w:p>
        </w:tc>
        <w:tc>
          <w:tcPr>
            <w:tcW w:w="1018" w:type="dxa"/>
            <w:vMerge w:val="restart"/>
            <w:noWrap/>
            <w:vAlign w:val="center"/>
          </w:tcPr>
          <w:p>
            <w:pPr>
              <w:widowControl/>
              <w:jc w:val="center"/>
              <w:rPr>
                <w:b/>
                <w:bCs/>
                <w:kern w:val="0"/>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697" w:type="dxa"/>
            <w:vMerge w:val="continue"/>
            <w:noWrap/>
            <w:vAlign w:val="center"/>
          </w:tcPr>
          <w:p>
            <w:pPr>
              <w:widowControl/>
              <w:jc w:val="center"/>
              <w:rPr>
                <w:b/>
                <w:bCs/>
                <w:kern w:val="0"/>
                <w:szCs w:val="21"/>
              </w:rPr>
            </w:pPr>
          </w:p>
        </w:tc>
        <w:tc>
          <w:tcPr>
            <w:tcW w:w="6718" w:type="dxa"/>
            <w:vMerge w:val="continue"/>
            <w:noWrap/>
            <w:vAlign w:val="center"/>
          </w:tcPr>
          <w:p>
            <w:pPr>
              <w:widowControl/>
              <w:jc w:val="center"/>
              <w:rPr>
                <w:b/>
                <w:bCs/>
                <w:kern w:val="0"/>
                <w:szCs w:val="21"/>
              </w:rPr>
            </w:pPr>
          </w:p>
        </w:tc>
        <w:tc>
          <w:tcPr>
            <w:tcW w:w="725" w:type="dxa"/>
            <w:vMerge w:val="continue"/>
            <w:noWrap/>
            <w:vAlign w:val="center"/>
          </w:tcPr>
          <w:p>
            <w:pPr>
              <w:widowControl/>
              <w:jc w:val="center"/>
              <w:rPr>
                <w:b/>
                <w:bCs/>
                <w:kern w:val="0"/>
                <w:szCs w:val="21"/>
              </w:rPr>
            </w:pPr>
          </w:p>
        </w:tc>
        <w:tc>
          <w:tcPr>
            <w:tcW w:w="1018" w:type="dxa"/>
            <w:vMerge w:val="continue"/>
            <w:noWrap/>
            <w:vAlign w:val="center"/>
          </w:tcPr>
          <w:p>
            <w:pPr>
              <w:widowControl/>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ign w:val="center"/>
          </w:tcPr>
          <w:p>
            <w:pPr>
              <w:widowControl/>
              <w:spacing w:line="276" w:lineRule="auto"/>
              <w:jc w:val="center"/>
              <w:rPr>
                <w:b/>
                <w:bCs/>
                <w:kern w:val="0"/>
              </w:rPr>
            </w:pPr>
            <w:r>
              <w:rPr>
                <w:b/>
                <w:bCs/>
                <w:kern w:val="0"/>
              </w:rPr>
              <w:t>一</w:t>
            </w:r>
          </w:p>
        </w:tc>
        <w:tc>
          <w:tcPr>
            <w:tcW w:w="6718" w:type="dxa"/>
            <w:noWrap/>
            <w:vAlign w:val="center"/>
          </w:tcPr>
          <w:p>
            <w:pPr>
              <w:widowControl/>
              <w:spacing w:line="276" w:lineRule="auto"/>
              <w:jc w:val="center"/>
              <w:rPr>
                <w:b/>
                <w:bCs/>
                <w:kern w:val="0"/>
              </w:rPr>
            </w:pPr>
            <w:r>
              <w:rPr>
                <w:b/>
                <w:bCs/>
                <w:kern w:val="0"/>
              </w:rPr>
              <w:t>生产线线体</w:t>
            </w:r>
          </w:p>
        </w:tc>
        <w:tc>
          <w:tcPr>
            <w:tcW w:w="725" w:type="dxa"/>
            <w:noWrap/>
            <w:vAlign w:val="center"/>
          </w:tcPr>
          <w:p>
            <w:pPr>
              <w:widowControl/>
              <w:spacing w:line="276" w:lineRule="auto"/>
              <w:jc w:val="center"/>
              <w:rPr>
                <w:kern w:val="0"/>
              </w:rPr>
            </w:pPr>
            <w:r>
              <w:rPr>
                <w:kern w:val="0"/>
              </w:rPr>
              <w:t>　</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97" w:type="dxa"/>
            <w:noWrap/>
            <w:vAlign w:val="center"/>
          </w:tcPr>
          <w:p>
            <w:pPr>
              <w:widowControl/>
              <w:spacing w:line="276" w:lineRule="auto"/>
              <w:jc w:val="center"/>
              <w:rPr>
                <w:kern w:val="0"/>
              </w:rPr>
            </w:pPr>
            <w:r>
              <w:rPr>
                <w:kern w:val="0"/>
              </w:rPr>
              <w:t>1</w:t>
            </w:r>
          </w:p>
        </w:tc>
        <w:tc>
          <w:tcPr>
            <w:tcW w:w="6718" w:type="dxa"/>
            <w:noWrap/>
            <w:vAlign w:val="center"/>
          </w:tcPr>
          <w:p>
            <w:pPr>
              <w:widowControl/>
              <w:spacing w:line="276" w:lineRule="auto"/>
              <w:jc w:val="left"/>
              <w:rPr>
                <w:kern w:val="0"/>
              </w:rPr>
            </w:pPr>
            <w:r>
              <w:rPr>
                <w:kern w:val="0"/>
              </w:rPr>
              <w:t>积放链（含双层轨道、积放链、积放小车、停止器、驱动/紧张系统、全套支撑钢构）</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97" w:type="dxa"/>
            <w:noWrap/>
            <w:vAlign w:val="center"/>
          </w:tcPr>
          <w:p>
            <w:pPr>
              <w:widowControl/>
              <w:spacing w:line="276" w:lineRule="auto"/>
              <w:jc w:val="center"/>
              <w:rPr>
                <w:kern w:val="0"/>
              </w:rPr>
            </w:pPr>
            <w:r>
              <w:rPr>
                <w:kern w:val="0"/>
              </w:rPr>
              <w:t>2</w:t>
            </w:r>
          </w:p>
        </w:tc>
        <w:tc>
          <w:tcPr>
            <w:tcW w:w="6718" w:type="dxa"/>
            <w:noWrap/>
            <w:vAlign w:val="center"/>
          </w:tcPr>
          <w:p>
            <w:pPr>
              <w:widowControl/>
              <w:spacing w:line="276" w:lineRule="auto"/>
              <w:jc w:val="left"/>
              <w:rPr>
                <w:kern w:val="0"/>
              </w:rPr>
            </w:pPr>
            <w:r>
              <w:rPr>
                <w:kern w:val="0"/>
              </w:rPr>
              <w:t>积放链控制系统</w:t>
            </w:r>
          </w:p>
        </w:tc>
        <w:tc>
          <w:tcPr>
            <w:tcW w:w="725" w:type="dxa"/>
            <w:noWrap/>
            <w:vAlign w:val="center"/>
          </w:tcPr>
          <w:p>
            <w:pPr>
              <w:widowControl/>
              <w:spacing w:line="276" w:lineRule="auto"/>
              <w:jc w:val="center"/>
              <w:rPr>
                <w:kern w:val="0"/>
              </w:rPr>
            </w:pPr>
            <w:r>
              <w:rPr>
                <w:kern w:val="0"/>
              </w:rPr>
              <w:t xml:space="preserve">1 </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97" w:type="dxa"/>
            <w:noWrap/>
            <w:vAlign w:val="center"/>
          </w:tcPr>
          <w:p>
            <w:pPr>
              <w:widowControl/>
              <w:spacing w:line="276" w:lineRule="auto"/>
              <w:jc w:val="center"/>
              <w:rPr>
                <w:kern w:val="0"/>
              </w:rPr>
            </w:pPr>
            <w:r>
              <w:rPr>
                <w:kern w:val="0"/>
              </w:rPr>
              <w:t>3</w:t>
            </w:r>
          </w:p>
        </w:tc>
        <w:tc>
          <w:tcPr>
            <w:tcW w:w="6718" w:type="dxa"/>
            <w:noWrap/>
            <w:vAlign w:val="center"/>
          </w:tcPr>
          <w:p>
            <w:pPr>
              <w:widowControl/>
              <w:spacing w:line="276" w:lineRule="auto"/>
              <w:jc w:val="left"/>
              <w:rPr>
                <w:kern w:val="0"/>
              </w:rPr>
            </w:pPr>
            <w:r>
              <w:rPr>
                <w:kern w:val="0"/>
              </w:rPr>
              <w:t>上下线线性吊</w:t>
            </w:r>
          </w:p>
        </w:tc>
        <w:tc>
          <w:tcPr>
            <w:tcW w:w="725" w:type="dxa"/>
            <w:noWrap/>
            <w:vAlign w:val="center"/>
          </w:tcPr>
          <w:p>
            <w:pPr>
              <w:widowControl/>
              <w:spacing w:line="276" w:lineRule="auto"/>
              <w:jc w:val="center"/>
              <w:rPr>
                <w:kern w:val="0"/>
              </w:rPr>
            </w:pPr>
            <w:r>
              <w:rPr>
                <w:kern w:val="0"/>
              </w:rPr>
              <w:t>3</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97" w:type="dxa"/>
            <w:noWrap/>
            <w:vAlign w:val="center"/>
          </w:tcPr>
          <w:p>
            <w:pPr>
              <w:widowControl/>
              <w:spacing w:line="276" w:lineRule="auto"/>
              <w:jc w:val="center"/>
              <w:rPr>
                <w:kern w:val="0"/>
              </w:rPr>
            </w:pPr>
            <w:r>
              <w:rPr>
                <w:kern w:val="0"/>
              </w:rPr>
              <w:t>4</w:t>
            </w:r>
          </w:p>
        </w:tc>
        <w:tc>
          <w:tcPr>
            <w:tcW w:w="6718" w:type="dxa"/>
            <w:noWrap/>
            <w:vAlign w:val="center"/>
          </w:tcPr>
          <w:p>
            <w:pPr>
              <w:widowControl/>
              <w:spacing w:line="276" w:lineRule="auto"/>
              <w:jc w:val="left"/>
              <w:rPr>
                <w:kern w:val="0"/>
              </w:rPr>
            </w:pPr>
            <w:r>
              <w:rPr>
                <w:kern w:val="0"/>
              </w:rPr>
              <w:t>生产线全线照明及维修走道钢平台</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ign w:val="center"/>
          </w:tcPr>
          <w:p>
            <w:pPr>
              <w:widowControl/>
              <w:spacing w:line="276" w:lineRule="auto"/>
              <w:jc w:val="center"/>
              <w:rPr>
                <w:b/>
                <w:bCs/>
                <w:kern w:val="0"/>
              </w:rPr>
            </w:pPr>
            <w:r>
              <w:rPr>
                <w:b/>
                <w:bCs/>
                <w:kern w:val="0"/>
              </w:rPr>
              <w:t>二</w:t>
            </w:r>
          </w:p>
        </w:tc>
        <w:tc>
          <w:tcPr>
            <w:tcW w:w="6718" w:type="dxa"/>
            <w:noWrap/>
            <w:vAlign w:val="center"/>
          </w:tcPr>
          <w:p>
            <w:pPr>
              <w:widowControl/>
              <w:spacing w:line="276" w:lineRule="auto"/>
              <w:jc w:val="left"/>
              <w:rPr>
                <w:b/>
                <w:bCs/>
                <w:kern w:val="0"/>
              </w:rPr>
            </w:pPr>
            <w:r>
              <w:rPr>
                <w:b/>
                <w:bCs/>
                <w:kern w:val="0"/>
              </w:rPr>
              <w:t>生产线信息管理系统</w:t>
            </w:r>
          </w:p>
        </w:tc>
        <w:tc>
          <w:tcPr>
            <w:tcW w:w="725" w:type="dxa"/>
            <w:noWrap/>
            <w:vAlign w:val="center"/>
          </w:tcPr>
          <w:p>
            <w:pPr>
              <w:widowControl/>
              <w:spacing w:line="276" w:lineRule="auto"/>
              <w:jc w:val="center"/>
              <w:rPr>
                <w:kern w:val="0"/>
              </w:rPr>
            </w:pPr>
            <w:r>
              <w:rPr>
                <w:kern w:val="0"/>
              </w:rPr>
              <w:t>　</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697" w:type="dxa"/>
            <w:noWrap/>
            <w:vAlign w:val="center"/>
          </w:tcPr>
          <w:p>
            <w:pPr>
              <w:widowControl/>
              <w:spacing w:line="276" w:lineRule="auto"/>
              <w:jc w:val="center"/>
              <w:rPr>
                <w:kern w:val="0"/>
              </w:rPr>
            </w:pPr>
            <w:r>
              <w:rPr>
                <w:kern w:val="0"/>
              </w:rPr>
              <w:t>　</w:t>
            </w:r>
          </w:p>
        </w:tc>
        <w:tc>
          <w:tcPr>
            <w:tcW w:w="6718" w:type="dxa"/>
            <w:noWrap/>
            <w:vAlign w:val="center"/>
          </w:tcPr>
          <w:p>
            <w:pPr>
              <w:widowControl/>
              <w:spacing w:line="276" w:lineRule="auto"/>
              <w:jc w:val="left"/>
              <w:rPr>
                <w:kern w:val="0"/>
              </w:rPr>
            </w:pPr>
            <w:r>
              <w:rPr>
                <w:kern w:val="0"/>
              </w:rPr>
              <w:t>生产线MES系统（硬件包含服务器、载码体、读写头、HMI、扫描枪、PC机、检验用的平板电脑等；软件包含工艺无纸化发布、零件追溯、质量数据采集、变化点管理、缺料呼叫以及与总装线生产管理系统的集成）</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97" w:type="dxa"/>
            <w:noWrap/>
            <w:vAlign w:val="center"/>
          </w:tcPr>
          <w:p>
            <w:pPr>
              <w:widowControl/>
              <w:spacing w:line="276" w:lineRule="auto"/>
              <w:jc w:val="center"/>
              <w:rPr>
                <w:b/>
                <w:kern w:val="0"/>
              </w:rPr>
            </w:pPr>
            <w:r>
              <w:rPr>
                <w:b/>
                <w:kern w:val="0"/>
              </w:rPr>
              <w:t>三</w:t>
            </w:r>
          </w:p>
        </w:tc>
        <w:tc>
          <w:tcPr>
            <w:tcW w:w="6718" w:type="dxa"/>
            <w:noWrap/>
            <w:vAlign w:val="center"/>
          </w:tcPr>
          <w:p>
            <w:pPr>
              <w:widowControl/>
              <w:spacing w:line="276" w:lineRule="auto"/>
              <w:jc w:val="left"/>
              <w:rPr>
                <w:b/>
                <w:kern w:val="0"/>
              </w:rPr>
            </w:pPr>
            <w:r>
              <w:rPr>
                <w:b/>
                <w:kern w:val="0"/>
              </w:rPr>
              <w:t>机油回收系统</w:t>
            </w:r>
          </w:p>
        </w:tc>
        <w:tc>
          <w:tcPr>
            <w:tcW w:w="725" w:type="dxa"/>
            <w:noWrap/>
            <w:vAlign w:val="center"/>
          </w:tcPr>
          <w:p>
            <w:pPr>
              <w:widowControl/>
              <w:spacing w:line="276" w:lineRule="auto"/>
              <w:jc w:val="center"/>
              <w:rPr>
                <w:kern w:val="0"/>
              </w:rPr>
            </w:pP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97" w:type="dxa"/>
            <w:noWrap/>
            <w:vAlign w:val="center"/>
          </w:tcPr>
          <w:p>
            <w:pPr>
              <w:widowControl/>
              <w:spacing w:line="276" w:lineRule="auto"/>
              <w:jc w:val="center"/>
              <w:rPr>
                <w:b/>
                <w:kern w:val="0"/>
              </w:rPr>
            </w:pPr>
            <w:r>
              <w:rPr>
                <w:b/>
                <w:kern w:val="0"/>
              </w:rPr>
              <w:t>1</w:t>
            </w:r>
          </w:p>
        </w:tc>
        <w:tc>
          <w:tcPr>
            <w:tcW w:w="6718" w:type="dxa"/>
            <w:noWrap/>
            <w:vAlign w:val="center"/>
          </w:tcPr>
          <w:p>
            <w:pPr>
              <w:widowControl/>
              <w:spacing w:line="276" w:lineRule="auto"/>
              <w:jc w:val="left"/>
              <w:rPr>
                <w:kern w:val="0"/>
              </w:rPr>
            </w:pPr>
            <w:r>
              <w:rPr>
                <w:kern w:val="0"/>
              </w:rPr>
              <w:t>一次放油油槽及抽油泵、管线、油箱</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97" w:type="dxa"/>
            <w:noWrap/>
            <w:vAlign w:val="center"/>
          </w:tcPr>
          <w:p>
            <w:pPr>
              <w:widowControl/>
              <w:spacing w:line="276" w:lineRule="auto"/>
              <w:jc w:val="center"/>
              <w:rPr>
                <w:b/>
                <w:bCs/>
                <w:kern w:val="0"/>
              </w:rPr>
            </w:pPr>
            <w:r>
              <w:rPr>
                <w:b/>
                <w:bCs/>
                <w:kern w:val="0"/>
              </w:rPr>
              <w:t>2</w:t>
            </w:r>
          </w:p>
        </w:tc>
        <w:tc>
          <w:tcPr>
            <w:tcW w:w="6718" w:type="dxa"/>
            <w:noWrap/>
            <w:vAlign w:val="center"/>
          </w:tcPr>
          <w:p>
            <w:pPr>
              <w:widowControl/>
              <w:spacing w:line="276" w:lineRule="auto"/>
              <w:jc w:val="left"/>
              <w:rPr>
                <w:bCs/>
                <w:kern w:val="0"/>
              </w:rPr>
            </w:pPr>
            <w:r>
              <w:rPr>
                <w:bCs/>
                <w:kern w:val="0"/>
              </w:rPr>
              <w:t>二次放机油机动滚道线</w:t>
            </w:r>
            <w:r>
              <w:rPr>
                <w:kern w:val="0"/>
              </w:rPr>
              <w:t>含上下线升降台、机动滚道、托盘、支撑工装）</w:t>
            </w:r>
          </w:p>
        </w:tc>
        <w:tc>
          <w:tcPr>
            <w:tcW w:w="725" w:type="dxa"/>
            <w:noWrap/>
            <w:vAlign w:val="center"/>
          </w:tcPr>
          <w:p>
            <w:pPr>
              <w:widowControl/>
              <w:spacing w:line="276" w:lineRule="auto"/>
              <w:jc w:val="center"/>
              <w:rPr>
                <w:kern w:val="0"/>
              </w:rPr>
            </w:pPr>
            <w:r>
              <w:rPr>
                <w:kern w:val="0"/>
              </w:rPr>
              <w:t>1　</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97" w:type="dxa"/>
            <w:noWrap/>
            <w:vAlign w:val="center"/>
          </w:tcPr>
          <w:p>
            <w:pPr>
              <w:widowControl/>
              <w:spacing w:line="276" w:lineRule="auto"/>
              <w:jc w:val="center"/>
              <w:rPr>
                <w:kern w:val="0"/>
              </w:rPr>
            </w:pPr>
            <w:r>
              <w:rPr>
                <w:kern w:val="0"/>
              </w:rPr>
              <w:t>3　</w:t>
            </w:r>
          </w:p>
        </w:tc>
        <w:tc>
          <w:tcPr>
            <w:tcW w:w="6718" w:type="dxa"/>
            <w:noWrap/>
            <w:vAlign w:val="center"/>
          </w:tcPr>
          <w:p>
            <w:pPr>
              <w:widowControl/>
              <w:spacing w:line="276" w:lineRule="auto"/>
              <w:jc w:val="left"/>
              <w:rPr>
                <w:kern w:val="0"/>
              </w:rPr>
            </w:pPr>
            <w:r>
              <w:rPr>
                <w:kern w:val="0"/>
              </w:rPr>
              <w:t>二次放油油槽及抽油泵、管线、油箱</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97" w:type="dxa"/>
            <w:noWrap/>
            <w:vAlign w:val="center"/>
          </w:tcPr>
          <w:p>
            <w:pPr>
              <w:widowControl/>
              <w:spacing w:line="276" w:lineRule="auto"/>
              <w:jc w:val="center"/>
              <w:rPr>
                <w:b/>
                <w:kern w:val="0"/>
              </w:rPr>
            </w:pPr>
            <w:r>
              <w:rPr>
                <w:b/>
                <w:kern w:val="0"/>
              </w:rPr>
              <w:t>四</w:t>
            </w:r>
          </w:p>
        </w:tc>
        <w:tc>
          <w:tcPr>
            <w:tcW w:w="6718" w:type="dxa"/>
            <w:noWrap/>
            <w:vAlign w:val="center"/>
          </w:tcPr>
          <w:p>
            <w:pPr>
              <w:widowControl/>
              <w:spacing w:line="276" w:lineRule="auto"/>
              <w:jc w:val="left"/>
              <w:rPr>
                <w:b/>
                <w:kern w:val="0"/>
              </w:rPr>
            </w:pPr>
            <w:r>
              <w:rPr>
                <w:b/>
                <w:kern w:val="0"/>
              </w:rPr>
              <w:t>整线拧紧工具及工位器具</w:t>
            </w:r>
          </w:p>
        </w:tc>
        <w:tc>
          <w:tcPr>
            <w:tcW w:w="725" w:type="dxa"/>
            <w:noWrap/>
            <w:vAlign w:val="center"/>
          </w:tcPr>
          <w:p>
            <w:pPr>
              <w:widowControl/>
              <w:spacing w:line="276" w:lineRule="auto"/>
              <w:jc w:val="center"/>
              <w:rPr>
                <w:kern w:val="0"/>
              </w:rPr>
            </w:pPr>
          </w:p>
        </w:tc>
        <w:tc>
          <w:tcPr>
            <w:tcW w:w="1018" w:type="dxa"/>
            <w:noWrap/>
            <w:vAlign w:val="center"/>
          </w:tcPr>
          <w:p>
            <w:pP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97" w:type="dxa"/>
            <w:noWrap/>
            <w:vAlign w:val="center"/>
          </w:tcPr>
          <w:p>
            <w:pPr>
              <w:widowControl/>
              <w:spacing w:line="276" w:lineRule="auto"/>
              <w:jc w:val="center"/>
              <w:rPr>
                <w:kern w:val="0"/>
              </w:rPr>
            </w:pPr>
            <w:r>
              <w:rPr>
                <w:kern w:val="0"/>
              </w:rPr>
              <w:t>1</w:t>
            </w:r>
          </w:p>
        </w:tc>
        <w:tc>
          <w:tcPr>
            <w:tcW w:w="6718" w:type="dxa"/>
            <w:noWrap/>
            <w:vAlign w:val="center"/>
          </w:tcPr>
          <w:p>
            <w:pPr>
              <w:widowControl/>
              <w:spacing w:line="276" w:lineRule="auto"/>
              <w:jc w:val="left"/>
              <w:rPr>
                <w:kern w:val="0"/>
              </w:rPr>
            </w:pPr>
            <w:r>
              <w:rPr>
                <w:kern w:val="0"/>
              </w:rPr>
              <w:t>生产线全套气扳机、套筒、定扭力扳手（操作工及检验各1）、管线、快换接头、气动三联件等</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7" w:type="dxa"/>
            <w:noWrap/>
            <w:vAlign w:val="center"/>
          </w:tcPr>
          <w:p>
            <w:pPr>
              <w:widowControl/>
              <w:spacing w:line="276" w:lineRule="auto"/>
              <w:jc w:val="center"/>
              <w:rPr>
                <w:kern w:val="0"/>
              </w:rPr>
            </w:pPr>
            <w:r>
              <w:rPr>
                <w:bCs/>
                <w:kern w:val="0"/>
              </w:rPr>
              <w:t>2</w:t>
            </w:r>
          </w:p>
        </w:tc>
        <w:tc>
          <w:tcPr>
            <w:tcW w:w="6718" w:type="dxa"/>
            <w:noWrap/>
            <w:vAlign w:val="center"/>
          </w:tcPr>
          <w:p>
            <w:pPr>
              <w:widowControl/>
              <w:spacing w:line="276" w:lineRule="auto"/>
              <w:jc w:val="left"/>
              <w:rPr>
                <w:kern w:val="0"/>
              </w:rPr>
            </w:pPr>
            <w:r>
              <w:rPr>
                <w:kern w:val="0"/>
              </w:rPr>
              <w:t>线边工位器具</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97" w:type="dxa"/>
            <w:noWrap/>
            <w:vAlign w:val="center"/>
          </w:tcPr>
          <w:p>
            <w:pPr>
              <w:widowControl/>
              <w:spacing w:line="276" w:lineRule="auto"/>
              <w:jc w:val="center"/>
              <w:rPr>
                <w:b/>
                <w:bCs/>
                <w:kern w:val="0"/>
              </w:rPr>
            </w:pPr>
            <w:r>
              <w:rPr>
                <w:b/>
                <w:bCs/>
                <w:kern w:val="0"/>
              </w:rPr>
              <w:t>五</w:t>
            </w:r>
          </w:p>
        </w:tc>
        <w:tc>
          <w:tcPr>
            <w:tcW w:w="6718" w:type="dxa"/>
            <w:noWrap/>
            <w:vAlign w:val="center"/>
          </w:tcPr>
          <w:p>
            <w:pPr>
              <w:widowControl/>
              <w:spacing w:line="276" w:lineRule="auto"/>
              <w:jc w:val="left"/>
              <w:rPr>
                <w:b/>
                <w:kern w:val="0"/>
              </w:rPr>
            </w:pPr>
            <w:r>
              <w:rPr>
                <w:b/>
                <w:kern w:val="0"/>
              </w:rPr>
              <w:t>处观清理室、补漆室及废气净化设备</w:t>
            </w:r>
          </w:p>
        </w:tc>
        <w:tc>
          <w:tcPr>
            <w:tcW w:w="725" w:type="dxa"/>
            <w:noWrap/>
            <w:vAlign w:val="center"/>
          </w:tcPr>
          <w:p>
            <w:pPr>
              <w:widowControl/>
              <w:spacing w:line="276" w:lineRule="auto"/>
              <w:jc w:val="center"/>
              <w:rPr>
                <w:kern w:val="0"/>
              </w:rPr>
            </w:pP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7" w:type="dxa"/>
            <w:noWrap/>
            <w:vAlign w:val="center"/>
          </w:tcPr>
          <w:p>
            <w:pPr>
              <w:widowControl/>
              <w:spacing w:line="276" w:lineRule="auto"/>
              <w:jc w:val="center"/>
              <w:rPr>
                <w:bCs/>
                <w:kern w:val="0"/>
              </w:rPr>
            </w:pPr>
            <w:r>
              <w:rPr>
                <w:bCs/>
                <w:kern w:val="0"/>
              </w:rPr>
              <w:t>1</w:t>
            </w:r>
          </w:p>
        </w:tc>
        <w:tc>
          <w:tcPr>
            <w:tcW w:w="6718" w:type="dxa"/>
            <w:noWrap/>
            <w:vAlign w:val="center"/>
          </w:tcPr>
          <w:p>
            <w:pPr>
              <w:widowControl/>
              <w:spacing w:line="276" w:lineRule="auto"/>
              <w:jc w:val="left"/>
              <w:rPr>
                <w:kern w:val="0"/>
              </w:rPr>
            </w:pPr>
            <w:r>
              <w:rPr>
                <w:kern w:val="0"/>
              </w:rPr>
              <w:t>外观清理室</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7" w:type="dxa"/>
            <w:noWrap/>
            <w:vAlign w:val="center"/>
          </w:tcPr>
          <w:p>
            <w:pPr>
              <w:widowControl/>
              <w:spacing w:line="276" w:lineRule="auto"/>
              <w:jc w:val="center"/>
              <w:rPr>
                <w:bCs/>
                <w:kern w:val="0"/>
              </w:rPr>
            </w:pPr>
            <w:r>
              <w:rPr>
                <w:bCs/>
                <w:kern w:val="0"/>
              </w:rPr>
              <w:t>2</w:t>
            </w:r>
          </w:p>
        </w:tc>
        <w:tc>
          <w:tcPr>
            <w:tcW w:w="6718" w:type="dxa"/>
            <w:noWrap/>
            <w:vAlign w:val="center"/>
          </w:tcPr>
          <w:p>
            <w:pPr>
              <w:widowControl/>
              <w:spacing w:line="276" w:lineRule="auto"/>
              <w:jc w:val="left"/>
              <w:rPr>
                <w:kern w:val="0"/>
              </w:rPr>
            </w:pPr>
            <w:r>
              <w:rPr>
                <w:kern w:val="0"/>
              </w:rPr>
              <w:t>水旋补漆室</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ign w:val="center"/>
          </w:tcPr>
          <w:p>
            <w:pPr>
              <w:widowControl/>
              <w:spacing w:line="276" w:lineRule="auto"/>
              <w:jc w:val="center"/>
              <w:rPr>
                <w:bCs/>
                <w:kern w:val="0"/>
              </w:rPr>
            </w:pPr>
            <w:r>
              <w:rPr>
                <w:bCs/>
                <w:kern w:val="0"/>
              </w:rPr>
              <w:t>3</w:t>
            </w:r>
          </w:p>
        </w:tc>
        <w:tc>
          <w:tcPr>
            <w:tcW w:w="6718" w:type="dxa"/>
            <w:noWrap/>
            <w:vAlign w:val="center"/>
          </w:tcPr>
          <w:p>
            <w:pPr>
              <w:widowControl/>
              <w:spacing w:line="276" w:lineRule="auto"/>
              <w:jc w:val="left"/>
              <w:rPr>
                <w:kern w:val="0"/>
              </w:rPr>
            </w:pPr>
            <w:r>
              <w:rPr>
                <w:kern w:val="0"/>
              </w:rPr>
              <w:t>废气净化设备（活性碳吸咐+催化燃烧）</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7" w:type="dxa"/>
            <w:noWrap/>
            <w:vAlign w:val="center"/>
          </w:tcPr>
          <w:p>
            <w:pPr>
              <w:widowControl/>
              <w:spacing w:line="276" w:lineRule="auto"/>
              <w:jc w:val="center"/>
              <w:rPr>
                <w:bCs/>
                <w:kern w:val="0"/>
              </w:rPr>
            </w:pPr>
            <w:r>
              <w:rPr>
                <w:bCs/>
                <w:kern w:val="0"/>
              </w:rPr>
              <w:t>4</w:t>
            </w:r>
          </w:p>
        </w:tc>
        <w:tc>
          <w:tcPr>
            <w:tcW w:w="6718" w:type="dxa"/>
            <w:noWrap/>
            <w:vAlign w:val="center"/>
          </w:tcPr>
          <w:p>
            <w:pPr>
              <w:widowControl/>
              <w:spacing w:line="276" w:lineRule="auto"/>
              <w:jc w:val="left"/>
              <w:rPr>
                <w:kern w:val="0"/>
              </w:rPr>
            </w:pPr>
            <w:r>
              <w:rPr>
                <w:kern w:val="0"/>
              </w:rPr>
              <w:t>循环小池供水系统（供水泵、排污泵、管路、维修线性吊等）</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ign w:val="center"/>
          </w:tcPr>
          <w:p>
            <w:pPr>
              <w:widowControl/>
              <w:spacing w:line="276" w:lineRule="auto"/>
              <w:jc w:val="center"/>
              <w:rPr>
                <w:bCs/>
                <w:kern w:val="0"/>
              </w:rPr>
            </w:pPr>
            <w:r>
              <w:rPr>
                <w:bCs/>
                <w:kern w:val="0"/>
              </w:rPr>
              <w:t>5</w:t>
            </w:r>
          </w:p>
        </w:tc>
        <w:tc>
          <w:tcPr>
            <w:tcW w:w="6718" w:type="dxa"/>
            <w:noWrap/>
            <w:vAlign w:val="center"/>
          </w:tcPr>
          <w:p>
            <w:pPr>
              <w:widowControl/>
              <w:spacing w:line="276" w:lineRule="auto"/>
              <w:jc w:val="left"/>
              <w:rPr>
                <w:kern w:val="0"/>
              </w:rPr>
            </w:pPr>
            <w:r>
              <w:rPr>
                <w:kern w:val="0"/>
              </w:rPr>
              <w:t>电器控制系统</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7" w:type="dxa"/>
            <w:noWrap/>
            <w:vAlign w:val="center"/>
          </w:tcPr>
          <w:p>
            <w:pPr>
              <w:widowControl/>
              <w:spacing w:line="276" w:lineRule="auto"/>
              <w:jc w:val="center"/>
              <w:rPr>
                <w:b/>
                <w:bCs/>
                <w:kern w:val="0"/>
              </w:rPr>
            </w:pPr>
            <w:r>
              <w:rPr>
                <w:b/>
                <w:bCs/>
                <w:kern w:val="0"/>
              </w:rPr>
              <w:t>六</w:t>
            </w:r>
          </w:p>
        </w:tc>
        <w:tc>
          <w:tcPr>
            <w:tcW w:w="6718" w:type="dxa"/>
            <w:noWrap/>
            <w:vAlign w:val="center"/>
          </w:tcPr>
          <w:p>
            <w:pPr>
              <w:widowControl/>
              <w:spacing w:line="276" w:lineRule="auto"/>
              <w:jc w:val="left"/>
              <w:rPr>
                <w:b/>
                <w:kern w:val="0"/>
              </w:rPr>
            </w:pPr>
            <w:r>
              <w:rPr>
                <w:b/>
                <w:kern w:val="0"/>
              </w:rPr>
              <w:t>补漆用单机供料系统</w:t>
            </w:r>
          </w:p>
        </w:tc>
        <w:tc>
          <w:tcPr>
            <w:tcW w:w="725" w:type="dxa"/>
            <w:noWrap/>
            <w:vAlign w:val="center"/>
          </w:tcPr>
          <w:p>
            <w:pPr>
              <w:widowControl/>
              <w:spacing w:line="276" w:lineRule="auto"/>
              <w:jc w:val="center"/>
              <w:rPr>
                <w:kern w:val="0"/>
              </w:rPr>
            </w:pP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ign w:val="center"/>
          </w:tcPr>
          <w:p>
            <w:pPr>
              <w:widowControl/>
              <w:spacing w:line="276" w:lineRule="auto"/>
              <w:jc w:val="center"/>
              <w:rPr>
                <w:bCs/>
                <w:kern w:val="0"/>
              </w:rPr>
            </w:pPr>
            <w:r>
              <w:rPr>
                <w:bCs/>
                <w:kern w:val="0"/>
              </w:rPr>
              <w:t>1</w:t>
            </w:r>
          </w:p>
        </w:tc>
        <w:tc>
          <w:tcPr>
            <w:tcW w:w="6718" w:type="dxa"/>
            <w:noWrap/>
            <w:vAlign w:val="center"/>
          </w:tcPr>
          <w:p>
            <w:pPr>
              <w:widowControl/>
              <w:spacing w:line="276" w:lineRule="auto"/>
              <w:jc w:val="left"/>
              <w:rPr>
                <w:kern w:val="0"/>
              </w:rPr>
            </w:pPr>
            <w:r>
              <w:rPr>
                <w:kern w:val="0"/>
              </w:rPr>
              <w:t>加工面补漆用单机供料系统（含供料泵、料桶、特殊长接杆喷枪）</w:t>
            </w:r>
          </w:p>
        </w:tc>
        <w:tc>
          <w:tcPr>
            <w:tcW w:w="725" w:type="dxa"/>
            <w:noWrap/>
            <w:vAlign w:val="center"/>
          </w:tcPr>
          <w:p>
            <w:pPr>
              <w:widowControl/>
              <w:spacing w:line="276" w:lineRule="auto"/>
              <w:jc w:val="center"/>
              <w:rPr>
                <w:kern w:val="0"/>
              </w:rPr>
            </w:pPr>
            <w:r>
              <w:rPr>
                <w:kern w:val="0"/>
              </w:rPr>
              <w:t>1</w:t>
            </w:r>
          </w:p>
        </w:tc>
        <w:tc>
          <w:tcPr>
            <w:tcW w:w="1018" w:type="dxa"/>
            <w:noWrap/>
            <w:vAlign w:val="center"/>
          </w:tcPr>
          <w:p>
            <w:pPr>
              <w:widowControl/>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97" w:type="dxa"/>
            <w:noWrap/>
            <w:vAlign w:val="center"/>
          </w:tcPr>
          <w:p>
            <w:pPr>
              <w:widowControl/>
              <w:spacing w:line="276" w:lineRule="auto"/>
              <w:jc w:val="center"/>
              <w:rPr>
                <w:b/>
                <w:bCs/>
                <w:kern w:val="0"/>
              </w:rPr>
            </w:pPr>
            <w:r>
              <w:rPr>
                <w:b/>
                <w:bCs/>
                <w:kern w:val="0"/>
              </w:rPr>
              <w:t>　</w:t>
            </w:r>
          </w:p>
        </w:tc>
        <w:tc>
          <w:tcPr>
            <w:tcW w:w="6718" w:type="dxa"/>
            <w:noWrap/>
            <w:vAlign w:val="center"/>
          </w:tcPr>
          <w:p>
            <w:pPr>
              <w:widowControl/>
              <w:spacing w:line="276" w:lineRule="auto"/>
              <w:jc w:val="center"/>
              <w:rPr>
                <w:b/>
                <w:bCs/>
                <w:kern w:val="0"/>
              </w:rPr>
            </w:pPr>
            <w:r>
              <w:rPr>
                <w:b/>
                <w:bCs/>
                <w:kern w:val="0"/>
              </w:rPr>
              <w:t>合计</w:t>
            </w:r>
          </w:p>
        </w:tc>
        <w:tc>
          <w:tcPr>
            <w:tcW w:w="725" w:type="dxa"/>
            <w:noWrap/>
            <w:vAlign w:val="center"/>
          </w:tcPr>
          <w:p>
            <w:pPr>
              <w:widowControl/>
              <w:spacing w:line="276" w:lineRule="auto"/>
              <w:jc w:val="center"/>
              <w:rPr>
                <w:b/>
                <w:bCs/>
                <w:kern w:val="0"/>
              </w:rPr>
            </w:pPr>
            <w:r>
              <w:rPr>
                <w:b/>
                <w:bCs/>
                <w:kern w:val="0"/>
              </w:rPr>
              <w:t>　</w:t>
            </w:r>
          </w:p>
        </w:tc>
        <w:tc>
          <w:tcPr>
            <w:tcW w:w="1018" w:type="dxa"/>
            <w:noWrap/>
            <w:vAlign w:val="center"/>
          </w:tcPr>
          <w:p>
            <w:pPr>
              <w:widowControl/>
              <w:rPr>
                <w:b/>
                <w:kern w:val="0"/>
                <w:szCs w:val="21"/>
              </w:rPr>
            </w:pPr>
          </w:p>
        </w:tc>
      </w:tr>
    </w:tbl>
    <w:p/>
    <w:p>
      <w:pPr>
        <w:pStyle w:val="5"/>
        <w:keepNext w:val="0"/>
        <w:keepLines w:val="0"/>
        <w:snapToGrid w:val="0"/>
        <w:spacing w:before="0" w:after="0" w:line="360" w:lineRule="auto"/>
        <w:jc w:val="left"/>
        <w:rPr>
          <w:rFonts w:ascii="宋体" w:hAnsi="宋体" w:cs="宋体"/>
          <w:sz w:val="28"/>
          <w:szCs w:val="28"/>
        </w:rPr>
      </w:pPr>
      <w:bookmarkStart w:id="227" w:name="_Toc10143"/>
      <w:r>
        <w:rPr>
          <w:rFonts w:hint="eastAsia" w:ascii="宋体" w:hAnsi="宋体" w:cs="宋体"/>
          <w:sz w:val="28"/>
          <w:szCs w:val="28"/>
        </w:rPr>
        <w:t>2.8.2特种设备和强制检验设备</w:t>
      </w:r>
      <w:bookmarkEnd w:id="225"/>
      <w:bookmarkEnd w:id="226"/>
      <w:bookmarkEnd w:id="227"/>
    </w:p>
    <w:p>
      <w:pPr>
        <w:adjustRightInd w:val="0"/>
        <w:snapToGrid w:val="0"/>
        <w:spacing w:line="500" w:lineRule="exact"/>
        <w:ind w:firstLine="482"/>
        <w:rPr>
          <w:rFonts w:hint="default" w:ascii="宋体" w:hAnsi="宋体" w:eastAsia="宋体"/>
          <w:sz w:val="28"/>
          <w:szCs w:val="28"/>
          <w:lang w:val="en-US" w:eastAsia="zh-CN"/>
        </w:rPr>
      </w:pPr>
      <w:r>
        <w:rPr>
          <w:rFonts w:hint="eastAsia" w:ascii="宋体" w:hAnsi="宋体"/>
          <w:color w:val="000000" w:themeColor="text1"/>
          <w:sz w:val="28"/>
          <w:szCs w:val="28"/>
          <w14:textFill>
            <w14:solidFill>
              <w14:schemeClr w14:val="tx1"/>
            </w14:solidFill>
          </w14:textFill>
        </w:rPr>
        <w:t>根据《特种设备目录》（质检总局关于修订《特种设备目录》的公告，2014年第114号)，</w:t>
      </w:r>
      <w:r>
        <w:rPr>
          <w:rFonts w:hint="eastAsia" w:ascii="宋体" w:hAnsi="宋体"/>
          <w:sz w:val="28"/>
          <w:szCs w:val="28"/>
        </w:rPr>
        <w:t>本项目涉及的特种设备有：起重机、储气罐、叉车；强制检测设备有安全阀、压力表，其规格型号及数量见下表。</w:t>
      </w:r>
      <w:r>
        <w:rPr>
          <w:rFonts w:hint="eastAsia" w:ascii="宋体" w:hAnsi="宋体"/>
          <w:sz w:val="28"/>
          <w:szCs w:val="28"/>
          <w:lang w:val="en-US" w:eastAsia="zh-CN"/>
        </w:rPr>
        <w:t>相关检验情况见本报告2.3.3章节。</w:t>
      </w:r>
    </w:p>
    <w:p>
      <w:pPr>
        <w:spacing w:line="360" w:lineRule="auto"/>
        <w:ind w:firstLine="480" w:firstLineChars="200"/>
        <w:jc w:val="center"/>
        <w:rPr>
          <w:kern w:val="0"/>
          <w:sz w:val="24"/>
        </w:rPr>
      </w:pPr>
      <w:bookmarkStart w:id="228" w:name="_Toc13227"/>
      <w:r>
        <w:rPr>
          <w:rFonts w:hint="eastAsia"/>
          <w:kern w:val="0"/>
          <w:sz w:val="24"/>
        </w:rPr>
        <w:t>表2-18主要特种设备清单</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5"/>
        <w:gridCol w:w="3203"/>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63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szCs w:val="21"/>
              </w:rPr>
            </w:pPr>
            <w:r>
              <w:rPr>
                <w:b/>
                <w:szCs w:val="21"/>
              </w:rPr>
              <w:t>名称</w:t>
            </w:r>
          </w:p>
        </w:tc>
        <w:tc>
          <w:tcPr>
            <w:tcW w:w="3203" w:type="dxa"/>
            <w:tcBorders>
              <w:top w:val="single" w:color="auto" w:sz="4" w:space="0"/>
              <w:left w:val="nil"/>
              <w:bottom w:val="single" w:color="auto" w:sz="4" w:space="0"/>
              <w:right w:val="single" w:color="auto" w:sz="4" w:space="0"/>
            </w:tcBorders>
            <w:noWrap/>
            <w:vAlign w:val="center"/>
          </w:tcPr>
          <w:p>
            <w:pPr>
              <w:adjustRightInd w:val="0"/>
              <w:snapToGrid w:val="0"/>
              <w:jc w:val="center"/>
              <w:rPr>
                <w:b/>
                <w:szCs w:val="21"/>
              </w:rPr>
            </w:pPr>
            <w:r>
              <w:rPr>
                <w:b/>
                <w:szCs w:val="21"/>
              </w:rPr>
              <w:t>规格型号</w:t>
            </w:r>
          </w:p>
        </w:tc>
        <w:tc>
          <w:tcPr>
            <w:tcW w:w="2221" w:type="dxa"/>
            <w:tcBorders>
              <w:top w:val="single" w:color="auto" w:sz="4" w:space="0"/>
              <w:left w:val="nil"/>
              <w:bottom w:val="single" w:color="auto" w:sz="4" w:space="0"/>
              <w:right w:val="single" w:color="auto" w:sz="4" w:space="0"/>
            </w:tcBorders>
            <w:noWrap/>
            <w:vAlign w:val="center"/>
          </w:tcPr>
          <w:p>
            <w:pPr>
              <w:adjustRightInd w:val="0"/>
              <w:snapToGrid w:val="0"/>
              <w:jc w:val="center"/>
              <w:rPr>
                <w:b/>
                <w:szCs w:val="21"/>
              </w:rPr>
            </w:pPr>
            <w:r>
              <w:rPr>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635" w:type="dxa"/>
            <w:tcBorders>
              <w:top w:val="single" w:color="auto" w:sz="4" w:space="0"/>
              <w:left w:val="single" w:color="auto" w:sz="4" w:space="0"/>
              <w:bottom w:val="single" w:color="auto" w:sz="4" w:space="0"/>
              <w:right w:val="single" w:color="auto" w:sz="4" w:space="0"/>
            </w:tcBorders>
            <w:noWrap/>
            <w:vAlign w:val="center"/>
          </w:tcPr>
          <w:p>
            <w:pPr>
              <w:snapToGrid w:val="0"/>
              <w:jc w:val="center"/>
              <w:rPr>
                <w:kern w:val="0"/>
                <w:szCs w:val="21"/>
              </w:rPr>
            </w:pPr>
            <w:r>
              <w:rPr>
                <w:rFonts w:hint="eastAsia"/>
                <w:kern w:val="0"/>
                <w:szCs w:val="21"/>
              </w:rPr>
              <w:t>5</w:t>
            </w:r>
            <w:r>
              <w:rPr>
                <w:kern w:val="0"/>
                <w:szCs w:val="21"/>
              </w:rPr>
              <w:t>t起重机</w:t>
            </w:r>
          </w:p>
        </w:tc>
        <w:tc>
          <w:tcPr>
            <w:tcW w:w="3203"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r>
              <w:rPr>
                <w:kern w:val="0"/>
                <w:szCs w:val="21"/>
              </w:rPr>
              <w:t>Gn=3t S=22.5m H=8.5m</w:t>
            </w:r>
          </w:p>
        </w:tc>
        <w:tc>
          <w:tcPr>
            <w:tcW w:w="2221"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r>
              <w:rPr>
                <w:rFonts w:hint="eastAsia"/>
                <w:color w:val="000000" w:themeColor="text1"/>
                <w:kern w:val="0"/>
                <w:szCs w:val="21"/>
                <w:lang w:val="en-US" w:eastAsia="zh-CN"/>
                <w14:textFill>
                  <w14:solidFill>
                    <w14:schemeClr w14:val="tx1"/>
                  </w14:solidFill>
                </w14:textFill>
              </w:rPr>
              <w:t>10</w:t>
            </w:r>
            <w:r>
              <w:rPr>
                <w:color w:val="000000" w:themeColor="text1"/>
                <w:kern w:val="0"/>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635" w:type="dxa"/>
            <w:tcBorders>
              <w:top w:val="single" w:color="auto" w:sz="4" w:space="0"/>
              <w:left w:val="single" w:color="auto" w:sz="4" w:space="0"/>
              <w:bottom w:val="single" w:color="auto" w:sz="4" w:space="0"/>
              <w:right w:val="single" w:color="auto" w:sz="4" w:space="0"/>
            </w:tcBorders>
            <w:noWrap/>
            <w:vAlign w:val="center"/>
          </w:tcPr>
          <w:p>
            <w:pPr>
              <w:snapToGrid w:val="0"/>
              <w:jc w:val="center"/>
              <w:rPr>
                <w:kern w:val="0"/>
                <w:szCs w:val="21"/>
              </w:rPr>
            </w:pPr>
            <w:r>
              <w:rPr>
                <w:rFonts w:hint="eastAsia"/>
                <w:kern w:val="0"/>
                <w:szCs w:val="21"/>
              </w:rPr>
              <w:t>电瓶叉车</w:t>
            </w:r>
          </w:p>
        </w:tc>
        <w:tc>
          <w:tcPr>
            <w:tcW w:w="3203"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r>
              <w:rPr>
                <w:kern w:val="0"/>
                <w:szCs w:val="21"/>
              </w:rPr>
              <w:t>2t</w:t>
            </w:r>
          </w:p>
        </w:tc>
        <w:tc>
          <w:tcPr>
            <w:tcW w:w="2221"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r>
              <w:rPr>
                <w:rFonts w:hint="eastAsia"/>
                <w:kern w:val="0"/>
                <w:szCs w:val="21"/>
                <w:lang w:val="en-US" w:eastAsia="zh-CN"/>
              </w:rPr>
              <w:t>3</w:t>
            </w:r>
            <w:r>
              <w:rPr>
                <w:rFonts w:hint="eastAsia"/>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635" w:type="dxa"/>
            <w:tcBorders>
              <w:top w:val="single" w:color="auto" w:sz="4" w:space="0"/>
              <w:left w:val="single" w:color="auto" w:sz="4" w:space="0"/>
              <w:bottom w:val="single" w:color="auto" w:sz="4" w:space="0"/>
              <w:right w:val="single" w:color="auto" w:sz="4" w:space="0"/>
            </w:tcBorders>
            <w:noWrap/>
            <w:vAlign w:val="center"/>
          </w:tcPr>
          <w:p>
            <w:pPr>
              <w:snapToGrid w:val="0"/>
              <w:jc w:val="center"/>
              <w:rPr>
                <w:kern w:val="0"/>
                <w:szCs w:val="21"/>
              </w:rPr>
            </w:pPr>
            <w:r>
              <w:rPr>
                <w:rFonts w:hint="eastAsia"/>
                <w:kern w:val="0"/>
                <w:szCs w:val="21"/>
              </w:rPr>
              <w:t>储气罐</w:t>
            </w:r>
          </w:p>
        </w:tc>
        <w:tc>
          <w:tcPr>
            <w:tcW w:w="3203"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p>
        </w:tc>
        <w:tc>
          <w:tcPr>
            <w:tcW w:w="2221"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r>
              <w:rPr>
                <w:rFonts w:hint="eastAsia"/>
                <w:kern w:val="0"/>
                <w:szCs w:val="21"/>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635" w:type="dxa"/>
            <w:tcBorders>
              <w:top w:val="single" w:color="auto" w:sz="4" w:space="0"/>
              <w:left w:val="single" w:color="auto" w:sz="4" w:space="0"/>
              <w:bottom w:val="single" w:color="auto" w:sz="4" w:space="0"/>
              <w:right w:val="single" w:color="auto" w:sz="4" w:space="0"/>
            </w:tcBorders>
            <w:noWrap/>
            <w:vAlign w:val="center"/>
          </w:tcPr>
          <w:p>
            <w:pPr>
              <w:snapToGrid w:val="0"/>
              <w:jc w:val="center"/>
              <w:rPr>
                <w:kern w:val="0"/>
                <w:szCs w:val="21"/>
              </w:rPr>
            </w:pPr>
            <w:r>
              <w:rPr>
                <w:kern w:val="0"/>
                <w:szCs w:val="21"/>
              </w:rPr>
              <w:t>压力表</w:t>
            </w:r>
          </w:p>
        </w:tc>
        <w:tc>
          <w:tcPr>
            <w:tcW w:w="3203"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p>
        </w:tc>
        <w:tc>
          <w:tcPr>
            <w:tcW w:w="2221" w:type="dxa"/>
            <w:tcBorders>
              <w:top w:val="single" w:color="auto" w:sz="4" w:space="0"/>
              <w:left w:val="nil"/>
              <w:bottom w:val="single" w:color="auto" w:sz="4" w:space="0"/>
              <w:right w:val="single" w:color="auto" w:sz="4" w:space="0"/>
            </w:tcBorders>
            <w:noWrap/>
            <w:vAlign w:val="center"/>
          </w:tcPr>
          <w:p>
            <w:pPr>
              <w:snapToGrid w:val="0"/>
              <w:jc w:val="center"/>
              <w:rPr>
                <w:szCs w:val="21"/>
              </w:rPr>
            </w:pPr>
            <w:r>
              <w:rPr>
                <w:kern w:val="0"/>
                <w:szCs w:val="21"/>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635" w:type="dxa"/>
            <w:tcBorders>
              <w:top w:val="single" w:color="auto" w:sz="4" w:space="0"/>
              <w:left w:val="single" w:color="auto" w:sz="4" w:space="0"/>
              <w:bottom w:val="single" w:color="auto" w:sz="4" w:space="0"/>
              <w:right w:val="single" w:color="auto" w:sz="4" w:space="0"/>
            </w:tcBorders>
            <w:noWrap/>
            <w:vAlign w:val="center"/>
          </w:tcPr>
          <w:p>
            <w:pPr>
              <w:snapToGrid w:val="0"/>
              <w:jc w:val="center"/>
              <w:rPr>
                <w:kern w:val="0"/>
                <w:szCs w:val="21"/>
              </w:rPr>
            </w:pPr>
            <w:r>
              <w:rPr>
                <w:kern w:val="0"/>
                <w:szCs w:val="21"/>
              </w:rPr>
              <w:t>安全阀</w:t>
            </w:r>
          </w:p>
        </w:tc>
        <w:tc>
          <w:tcPr>
            <w:tcW w:w="3203" w:type="dxa"/>
            <w:tcBorders>
              <w:top w:val="single" w:color="auto" w:sz="4" w:space="0"/>
              <w:left w:val="nil"/>
              <w:bottom w:val="single" w:color="auto" w:sz="4" w:space="0"/>
              <w:right w:val="single" w:color="auto" w:sz="4" w:space="0"/>
            </w:tcBorders>
            <w:noWrap/>
            <w:vAlign w:val="center"/>
          </w:tcPr>
          <w:p>
            <w:pPr>
              <w:snapToGrid w:val="0"/>
              <w:jc w:val="center"/>
              <w:rPr>
                <w:kern w:val="0"/>
                <w:szCs w:val="21"/>
              </w:rPr>
            </w:pPr>
          </w:p>
        </w:tc>
        <w:tc>
          <w:tcPr>
            <w:tcW w:w="2221" w:type="dxa"/>
            <w:tcBorders>
              <w:top w:val="single" w:color="auto" w:sz="4" w:space="0"/>
              <w:left w:val="nil"/>
              <w:bottom w:val="single" w:color="auto" w:sz="4" w:space="0"/>
              <w:right w:val="single" w:color="auto" w:sz="4" w:space="0"/>
            </w:tcBorders>
            <w:noWrap/>
            <w:vAlign w:val="center"/>
          </w:tcPr>
          <w:p>
            <w:pPr>
              <w:snapToGrid w:val="0"/>
              <w:jc w:val="center"/>
              <w:rPr>
                <w:szCs w:val="21"/>
              </w:rPr>
            </w:pPr>
            <w:r>
              <w:rPr>
                <w:kern w:val="0"/>
                <w:szCs w:val="21"/>
              </w:rPr>
              <w:t>若干</w:t>
            </w:r>
          </w:p>
        </w:tc>
      </w:tr>
    </w:tbl>
    <w:p/>
    <w:p>
      <w:pPr>
        <w:pStyle w:val="4"/>
        <w:keepNext w:val="0"/>
        <w:keepLines w:val="0"/>
        <w:snapToGrid w:val="0"/>
        <w:spacing w:before="0" w:after="0" w:line="360" w:lineRule="auto"/>
        <w:jc w:val="left"/>
        <w:rPr>
          <w:rFonts w:ascii="宋体" w:hAnsi="宋体" w:cs="宋体"/>
          <w:snapToGrid/>
          <w:kern w:val="2"/>
        </w:rPr>
      </w:pPr>
      <w:bookmarkStart w:id="229" w:name="_Toc28498"/>
      <w:r>
        <w:rPr>
          <w:rFonts w:hint="eastAsia" w:ascii="宋体" w:hAnsi="宋体" w:cs="宋体"/>
          <w:snapToGrid/>
          <w:kern w:val="2"/>
        </w:rPr>
        <w:t>2.9</w:t>
      </w:r>
      <w:r>
        <w:rPr>
          <w:rFonts w:hint="eastAsia" w:ascii="宋体" w:hAnsi="宋体" w:cs="宋体"/>
          <w:snapToGrid/>
          <w:kern w:val="2"/>
          <w:lang w:val="en-US" w:eastAsia="zh-CN"/>
        </w:rPr>
        <w:t xml:space="preserve"> </w:t>
      </w:r>
      <w:r>
        <w:rPr>
          <w:rFonts w:hint="eastAsia" w:ascii="宋体" w:hAnsi="宋体" w:cs="宋体"/>
          <w:snapToGrid/>
          <w:kern w:val="2"/>
        </w:rPr>
        <w:t>公用工程和辅助设施</w:t>
      </w:r>
      <w:bookmarkEnd w:id="228"/>
      <w:bookmarkEnd w:id="229"/>
    </w:p>
    <w:p>
      <w:pPr>
        <w:pStyle w:val="5"/>
        <w:keepNext w:val="0"/>
        <w:keepLines w:val="0"/>
        <w:snapToGrid w:val="0"/>
        <w:spacing w:before="0" w:after="0" w:line="360" w:lineRule="auto"/>
        <w:jc w:val="left"/>
        <w:rPr>
          <w:rFonts w:ascii="宋体" w:hAnsi="宋体" w:cs="宋体"/>
          <w:sz w:val="28"/>
          <w:szCs w:val="28"/>
        </w:rPr>
      </w:pPr>
      <w:bookmarkStart w:id="230" w:name="_Toc31429"/>
      <w:bookmarkStart w:id="231" w:name="_Toc11025"/>
      <w:r>
        <w:rPr>
          <w:rFonts w:hint="eastAsia" w:ascii="宋体" w:hAnsi="宋体" w:cs="宋体"/>
          <w:sz w:val="28"/>
          <w:szCs w:val="28"/>
        </w:rPr>
        <w:t>2.9.1土建</w:t>
      </w:r>
      <w:bookmarkEnd w:id="230"/>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本项目在昆明云内动力股份有限公司新建第三联合厂房实施，设备设施均为新增。</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昆明云内动力股份有限公司云内工业园内现建有1栋综合办公楼、2栋食堂和1栋倒班房等，第三</w:t>
      </w:r>
      <w:r>
        <w:rPr>
          <w:rFonts w:ascii="宋体" w:hAnsi="宋体"/>
          <w:sz w:val="28"/>
          <w:szCs w:val="28"/>
        </w:rPr>
        <w:t>联合</w:t>
      </w:r>
      <w:r>
        <w:rPr>
          <w:rFonts w:ascii="宋体" w:hAnsi="宋体"/>
          <w:color w:val="000000" w:themeColor="text1"/>
          <w:sz w:val="28"/>
          <w:szCs w:val="28"/>
          <w14:textFill>
            <w14:solidFill>
              <w14:schemeClr w14:val="tx1"/>
            </w14:solidFill>
          </w14:textFill>
        </w:rPr>
        <w:t>厂房边缘夹层设置</w:t>
      </w:r>
      <w:r>
        <w:rPr>
          <w:rFonts w:hint="eastAsia" w:ascii="宋体" w:hAnsi="宋体"/>
          <w:color w:val="000000" w:themeColor="text1"/>
          <w:sz w:val="28"/>
          <w:szCs w:val="28"/>
          <w14:textFill>
            <w14:solidFill>
              <w14:schemeClr w14:val="tx1"/>
            </w14:solidFill>
          </w14:textFill>
        </w:rPr>
        <w:t>了</w:t>
      </w:r>
      <w:r>
        <w:rPr>
          <w:rFonts w:ascii="宋体" w:hAnsi="宋体"/>
          <w:color w:val="000000" w:themeColor="text1"/>
          <w:sz w:val="28"/>
          <w:szCs w:val="28"/>
          <w14:textFill>
            <w14:solidFill>
              <w14:schemeClr w14:val="tx1"/>
            </w14:solidFill>
          </w14:textFill>
        </w:rPr>
        <w:t>办公区域（新建），设置有班组园地。</w:t>
      </w:r>
      <w:r>
        <w:rPr>
          <w:rFonts w:hint="eastAsia" w:ascii="宋体" w:hAnsi="宋体"/>
          <w:color w:val="000000" w:themeColor="text1"/>
          <w:sz w:val="28"/>
          <w:szCs w:val="28"/>
          <w14:textFill>
            <w14:solidFill>
              <w14:schemeClr w14:val="tx1"/>
            </w14:solidFill>
          </w14:textFill>
        </w:rPr>
        <w:t>项目员工生活依托现有的生活设施，本项目新增生产人员48人，</w:t>
      </w:r>
      <w:r>
        <w:rPr>
          <w:rFonts w:hint="eastAsia" w:ascii="宋体" w:hAnsi="宋体"/>
          <w:sz w:val="28"/>
          <w:szCs w:val="28"/>
        </w:rPr>
        <w:t>利用上述设施，能满足生产需要。</w:t>
      </w:r>
    </w:p>
    <w:p>
      <w:pPr>
        <w:jc w:val="center"/>
        <w:rPr>
          <w:rFonts w:ascii="宋体" w:hAnsi="宋体" w:cs="宋体"/>
          <w:bCs/>
          <w:sz w:val="24"/>
        </w:rPr>
      </w:pPr>
      <w:r>
        <w:rPr>
          <w:rFonts w:hint="eastAsia" w:ascii="宋体" w:hAnsi="宋体" w:cs="宋体"/>
          <w:bCs/>
          <w:sz w:val="24"/>
        </w:rPr>
        <w:t>表2-19 建构筑物一览表</w:t>
      </w:r>
    </w:p>
    <w:tbl>
      <w:tblPr>
        <w:tblStyle w:val="52"/>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5"/>
        <w:gridCol w:w="900"/>
        <w:gridCol w:w="1185"/>
        <w:gridCol w:w="1155"/>
        <w:gridCol w:w="1170"/>
        <w:gridCol w:w="1200"/>
        <w:gridCol w:w="1702"/>
        <w:gridCol w:w="787"/>
        <w:gridCol w:w="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37" w:hRule="atLeast"/>
          <w:tblHeader/>
          <w:jc w:val="center"/>
        </w:trPr>
        <w:tc>
          <w:tcPr>
            <w:tcW w:w="915"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子项名称</w:t>
            </w:r>
          </w:p>
        </w:tc>
        <w:tc>
          <w:tcPr>
            <w:tcW w:w="900"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使用功能</w:t>
            </w:r>
          </w:p>
        </w:tc>
        <w:tc>
          <w:tcPr>
            <w:tcW w:w="1185"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建筑基地面积（m</w:t>
            </w:r>
            <w:r>
              <w:rPr>
                <w:rFonts w:hint="eastAsia" w:ascii="宋体" w:hAnsi="宋体" w:cs="宋体"/>
                <w:b/>
                <w:bCs/>
                <w:kern w:val="0"/>
                <w:szCs w:val="21"/>
                <w:vertAlign w:val="superscript"/>
              </w:rPr>
              <w:t>2</w:t>
            </w:r>
            <w:r>
              <w:rPr>
                <w:rFonts w:hint="eastAsia" w:ascii="宋体" w:hAnsi="宋体" w:cs="宋体"/>
                <w:b/>
                <w:bCs/>
                <w:kern w:val="0"/>
                <w:szCs w:val="21"/>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建筑面积</w:t>
            </w:r>
          </w:p>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（m</w:t>
            </w:r>
            <w:r>
              <w:rPr>
                <w:rFonts w:hint="eastAsia" w:ascii="宋体" w:hAnsi="宋体" w:cs="宋体"/>
                <w:b/>
                <w:bCs/>
                <w:kern w:val="0"/>
                <w:szCs w:val="21"/>
                <w:vertAlign w:val="superscript"/>
              </w:rPr>
              <w:t>2</w:t>
            </w:r>
            <w:r>
              <w:rPr>
                <w:rFonts w:hint="eastAsia" w:ascii="宋体" w:hAnsi="宋体" w:cs="宋体"/>
                <w:b/>
                <w:bCs/>
                <w:kern w:val="0"/>
                <w:szCs w:val="21"/>
              </w:rPr>
              <w:t>）</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层数</w:t>
            </w:r>
          </w:p>
          <w:p>
            <w:pPr>
              <w:widowControl/>
              <w:snapToGrid w:val="0"/>
              <w:spacing w:line="300" w:lineRule="auto"/>
              <w:rPr>
                <w:rFonts w:ascii="宋体" w:hAnsi="宋体" w:cs="宋体"/>
                <w:b/>
                <w:bCs/>
                <w:kern w:val="0"/>
                <w:szCs w:val="21"/>
              </w:rPr>
            </w:pPr>
            <w:r>
              <w:rPr>
                <w:rFonts w:hint="eastAsia" w:ascii="宋体" w:hAnsi="宋体" w:cs="宋体"/>
                <w:b/>
                <w:bCs/>
                <w:kern w:val="0"/>
                <w:szCs w:val="21"/>
              </w:rPr>
              <w:t>（-*F/*F）</w:t>
            </w:r>
          </w:p>
        </w:tc>
        <w:tc>
          <w:tcPr>
            <w:tcW w:w="1200"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建筑高度</w:t>
            </w:r>
          </w:p>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（m）</w:t>
            </w:r>
          </w:p>
        </w:tc>
        <w:tc>
          <w:tcPr>
            <w:tcW w:w="1702"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火灾危险性类别</w:t>
            </w:r>
          </w:p>
        </w:tc>
        <w:tc>
          <w:tcPr>
            <w:tcW w:w="787"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耐火等级</w:t>
            </w:r>
          </w:p>
        </w:tc>
        <w:tc>
          <w:tcPr>
            <w:tcW w:w="541"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12" w:hRule="atLeast"/>
          <w:tblHeader/>
          <w:jc w:val="center"/>
        </w:trPr>
        <w:tc>
          <w:tcPr>
            <w:tcW w:w="915"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第三联合厂房</w:t>
            </w:r>
          </w:p>
        </w:tc>
        <w:tc>
          <w:tcPr>
            <w:tcW w:w="900"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生产厂房</w:t>
            </w:r>
          </w:p>
        </w:tc>
        <w:tc>
          <w:tcPr>
            <w:tcW w:w="1185"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58130</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61152</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1F（局部2F）</w:t>
            </w:r>
          </w:p>
        </w:tc>
        <w:tc>
          <w:tcPr>
            <w:tcW w:w="1200"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13.80</w:t>
            </w:r>
          </w:p>
        </w:tc>
        <w:tc>
          <w:tcPr>
            <w:tcW w:w="1702"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丁类</w:t>
            </w:r>
          </w:p>
        </w:tc>
        <w:tc>
          <w:tcPr>
            <w:tcW w:w="787"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r>
              <w:rPr>
                <w:rFonts w:hint="eastAsia" w:ascii="宋体" w:hAnsi="宋体" w:cs="宋体"/>
                <w:kern w:val="0"/>
                <w:szCs w:val="21"/>
              </w:rPr>
              <w:t>二级</w:t>
            </w:r>
          </w:p>
        </w:tc>
        <w:tc>
          <w:tcPr>
            <w:tcW w:w="541"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cs="宋体"/>
                <w:kern w:val="0"/>
                <w:szCs w:val="21"/>
              </w:rPr>
            </w:pPr>
          </w:p>
        </w:tc>
      </w:tr>
    </w:tbl>
    <w:p>
      <w:pPr>
        <w:pStyle w:val="51"/>
      </w:pPr>
    </w:p>
    <w:p>
      <w:pPr>
        <w:pStyle w:val="5"/>
        <w:keepNext w:val="0"/>
        <w:keepLines w:val="0"/>
        <w:snapToGrid w:val="0"/>
        <w:spacing w:before="0" w:after="0" w:line="360" w:lineRule="auto"/>
        <w:jc w:val="left"/>
        <w:rPr>
          <w:rFonts w:ascii="宋体" w:hAnsi="宋体" w:cs="宋体"/>
          <w:sz w:val="28"/>
          <w:szCs w:val="28"/>
        </w:rPr>
      </w:pPr>
      <w:bookmarkStart w:id="232" w:name="_Toc10743"/>
      <w:r>
        <w:rPr>
          <w:rFonts w:hint="eastAsia" w:ascii="宋体" w:hAnsi="宋体" w:cs="宋体"/>
          <w:sz w:val="28"/>
          <w:szCs w:val="28"/>
        </w:rPr>
        <w:t>2.9.2给排水</w:t>
      </w:r>
      <w:bookmarkEnd w:id="232"/>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1.给水</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总用水量：见表2-20。</w:t>
      </w:r>
    </w:p>
    <w:p>
      <w:pPr>
        <w:tabs>
          <w:tab w:val="left" w:pos="3315"/>
        </w:tabs>
        <w:jc w:val="center"/>
        <w:rPr>
          <w:rFonts w:ascii="宋体" w:hAnsi="宋体"/>
          <w:b/>
          <w:snapToGrid w:val="0"/>
          <w:color w:val="000000" w:themeColor="text1"/>
          <w:sz w:val="24"/>
          <w14:textFill>
            <w14:solidFill>
              <w14:schemeClr w14:val="tx1"/>
            </w14:solidFill>
          </w14:textFill>
        </w:rPr>
      </w:pPr>
      <w:r>
        <w:rPr>
          <w:rFonts w:ascii="宋体" w:hAnsi="宋体"/>
          <w:b/>
          <w:snapToGrid w:val="0"/>
          <w:color w:val="000000" w:themeColor="text1"/>
          <w:sz w:val="24"/>
          <w14:textFill>
            <w14:solidFill>
              <w14:schemeClr w14:val="tx1"/>
            </w14:solidFill>
          </w14:textFill>
        </w:rPr>
        <w:t>表2</w:t>
      </w:r>
      <w:r>
        <w:rPr>
          <w:rFonts w:hint="eastAsia" w:ascii="宋体" w:hAnsi="宋体"/>
          <w:b/>
          <w:snapToGrid w:val="0"/>
          <w:color w:val="000000" w:themeColor="text1"/>
          <w:sz w:val="24"/>
          <w14:textFill>
            <w14:solidFill>
              <w14:schemeClr w14:val="tx1"/>
            </w14:solidFill>
          </w14:textFill>
        </w:rPr>
        <w:t>-20</w:t>
      </w:r>
      <w:r>
        <w:rPr>
          <w:rFonts w:ascii="宋体" w:hAnsi="宋体"/>
          <w:b/>
          <w:snapToGrid w:val="0"/>
          <w:color w:val="000000" w:themeColor="text1"/>
          <w:sz w:val="24"/>
          <w14:textFill>
            <w14:solidFill>
              <w14:schemeClr w14:val="tx1"/>
            </w14:solidFill>
          </w14:textFill>
        </w:rPr>
        <w:t xml:space="preserve"> 用水量统计表</w:t>
      </w:r>
    </w:p>
    <w:tbl>
      <w:tblPr>
        <w:tblStyle w:val="52"/>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88"/>
        <w:gridCol w:w="2216"/>
        <w:gridCol w:w="2058"/>
        <w:gridCol w:w="2056"/>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17"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序号</w:t>
            </w:r>
          </w:p>
        </w:tc>
        <w:tc>
          <w:tcPr>
            <w:tcW w:w="2216" w:type="dxa"/>
            <w:tcBorders>
              <w:top w:val="single" w:color="auto" w:sz="4" w:space="0"/>
              <w:left w:val="nil"/>
              <w:bottom w:val="single" w:color="auto" w:sz="4" w:space="0"/>
              <w:right w:val="single" w:color="auto" w:sz="4" w:space="0"/>
            </w:tcBorders>
            <w:noWrap/>
            <w:vAlign w:val="center"/>
          </w:tcPr>
          <w:p>
            <w:pPr>
              <w:jc w:val="center"/>
              <w:rPr>
                <w:rFonts w:ascii="宋体" w:hAns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用水类别</w:t>
            </w:r>
          </w:p>
        </w:tc>
        <w:tc>
          <w:tcPr>
            <w:tcW w:w="2058" w:type="dxa"/>
            <w:tcBorders>
              <w:top w:val="single" w:color="auto" w:sz="4" w:space="0"/>
              <w:left w:val="nil"/>
              <w:bottom w:val="single" w:color="auto" w:sz="4" w:space="0"/>
              <w:right w:val="single" w:color="auto" w:sz="4" w:space="0"/>
            </w:tcBorders>
            <w:noWrap/>
            <w:vAlign w:val="center"/>
          </w:tcPr>
          <w:p>
            <w:pPr>
              <w:jc w:val="center"/>
              <w:rPr>
                <w:rFonts w:ascii="宋体" w:hAns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小时最大（m³/h）</w:t>
            </w:r>
          </w:p>
        </w:tc>
        <w:tc>
          <w:tcPr>
            <w:tcW w:w="2056" w:type="dxa"/>
            <w:tcBorders>
              <w:top w:val="single" w:color="auto" w:sz="4" w:space="0"/>
              <w:left w:val="nil"/>
              <w:bottom w:val="single" w:color="auto" w:sz="4" w:space="0"/>
              <w:right w:val="single" w:color="auto" w:sz="4" w:space="0"/>
            </w:tcBorders>
            <w:noWrap/>
            <w:vAlign w:val="center"/>
          </w:tcPr>
          <w:p>
            <w:pPr>
              <w:jc w:val="center"/>
              <w:rPr>
                <w:rFonts w:ascii="宋体" w:hAns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昼夜（m³/d）</w:t>
            </w:r>
          </w:p>
        </w:tc>
        <w:tc>
          <w:tcPr>
            <w:tcW w:w="2499" w:type="dxa"/>
            <w:tcBorders>
              <w:top w:val="single" w:color="auto" w:sz="4" w:space="0"/>
              <w:left w:val="nil"/>
              <w:bottom w:val="single" w:color="auto" w:sz="4" w:space="0"/>
              <w:right w:val="single" w:color="auto" w:sz="4" w:space="0"/>
            </w:tcBorders>
            <w:noWrap/>
            <w:vAlign w:val="center"/>
          </w:tcPr>
          <w:p>
            <w:pPr>
              <w:jc w:val="center"/>
              <w:rPr>
                <w:rFonts w:ascii="宋体" w:hAns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85"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p>
        </w:tc>
        <w:tc>
          <w:tcPr>
            <w:tcW w:w="221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生产用水</w:t>
            </w:r>
          </w:p>
        </w:tc>
        <w:tc>
          <w:tcPr>
            <w:tcW w:w="2058"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18.0</w:t>
            </w:r>
          </w:p>
        </w:tc>
        <w:tc>
          <w:tcPr>
            <w:tcW w:w="205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105.6</w:t>
            </w:r>
          </w:p>
        </w:tc>
        <w:tc>
          <w:tcPr>
            <w:tcW w:w="2499"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54"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p>
        </w:tc>
        <w:tc>
          <w:tcPr>
            <w:tcW w:w="221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生活用水</w:t>
            </w:r>
          </w:p>
        </w:tc>
        <w:tc>
          <w:tcPr>
            <w:tcW w:w="2058"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w:t>
            </w:r>
          </w:p>
        </w:tc>
        <w:tc>
          <w:tcPr>
            <w:tcW w:w="205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12.5</w:t>
            </w:r>
          </w:p>
        </w:tc>
        <w:tc>
          <w:tcPr>
            <w:tcW w:w="2499"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64"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p>
        </w:tc>
        <w:tc>
          <w:tcPr>
            <w:tcW w:w="221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道路、绿化用水</w:t>
            </w:r>
          </w:p>
        </w:tc>
        <w:tc>
          <w:tcPr>
            <w:tcW w:w="2058"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2.3</w:t>
            </w:r>
          </w:p>
        </w:tc>
        <w:tc>
          <w:tcPr>
            <w:tcW w:w="205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18.0</w:t>
            </w:r>
          </w:p>
        </w:tc>
        <w:tc>
          <w:tcPr>
            <w:tcW w:w="2499"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2"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p>
        </w:tc>
        <w:tc>
          <w:tcPr>
            <w:tcW w:w="221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小计</w:t>
            </w:r>
          </w:p>
        </w:tc>
        <w:tc>
          <w:tcPr>
            <w:tcW w:w="2058"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21.5</w:t>
            </w:r>
          </w:p>
        </w:tc>
        <w:tc>
          <w:tcPr>
            <w:tcW w:w="205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136.1</w:t>
            </w:r>
          </w:p>
        </w:tc>
        <w:tc>
          <w:tcPr>
            <w:tcW w:w="2499"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54"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p>
        </w:tc>
        <w:tc>
          <w:tcPr>
            <w:tcW w:w="221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发展用水</w:t>
            </w:r>
          </w:p>
        </w:tc>
        <w:tc>
          <w:tcPr>
            <w:tcW w:w="2058"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2.2</w:t>
            </w:r>
          </w:p>
        </w:tc>
        <w:tc>
          <w:tcPr>
            <w:tcW w:w="205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13.6</w:t>
            </w:r>
          </w:p>
        </w:tc>
        <w:tc>
          <w:tcPr>
            <w:tcW w:w="2499"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按小计10%计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19"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6</w:t>
            </w:r>
          </w:p>
        </w:tc>
        <w:tc>
          <w:tcPr>
            <w:tcW w:w="221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合计</w:t>
            </w:r>
          </w:p>
        </w:tc>
        <w:tc>
          <w:tcPr>
            <w:tcW w:w="2058"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23.7</w:t>
            </w:r>
          </w:p>
        </w:tc>
        <w:tc>
          <w:tcPr>
            <w:tcW w:w="205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149.7</w:t>
            </w:r>
          </w:p>
        </w:tc>
        <w:tc>
          <w:tcPr>
            <w:tcW w:w="2499"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24" w:hRule="atLeast"/>
          <w:jc w:val="center"/>
        </w:trPr>
        <w:tc>
          <w:tcPr>
            <w:tcW w:w="78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w:t>
            </w:r>
          </w:p>
        </w:tc>
        <w:tc>
          <w:tcPr>
            <w:tcW w:w="221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消防用水</w:t>
            </w:r>
          </w:p>
        </w:tc>
        <w:tc>
          <w:tcPr>
            <w:tcW w:w="2058"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室内消火栓：20L/s</w:t>
            </w:r>
          </w:p>
        </w:tc>
        <w:tc>
          <w:tcPr>
            <w:tcW w:w="2056"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室外消火栓：10L/s</w:t>
            </w:r>
          </w:p>
        </w:tc>
        <w:tc>
          <w:tcPr>
            <w:tcW w:w="2499" w:type="dxa"/>
            <w:tcBorders>
              <w:top w:val="single" w:color="auto" w:sz="4" w:space="0"/>
              <w:left w:val="nil"/>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消火栓灭火时间</w:t>
            </w:r>
          </w:p>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按2h计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90" w:hRule="atLeast"/>
          <w:jc w:val="center"/>
        </w:trPr>
        <w:tc>
          <w:tcPr>
            <w:tcW w:w="9617" w:type="dxa"/>
            <w:gridSpan w:val="5"/>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注：最大小时用水量q=23.7×0.9=21.3m³/h （0.9为给水同时使用率）。</w:t>
            </w:r>
          </w:p>
        </w:tc>
      </w:tr>
    </w:tbl>
    <w:p>
      <w:pPr>
        <w:adjustRightInd w:val="0"/>
        <w:snapToGrid w:val="0"/>
        <w:spacing w:line="500" w:lineRule="exact"/>
        <w:ind w:firstLine="560" w:firstLineChars="200"/>
        <w:rPr>
          <w:rFonts w:ascii="宋体" w:hAnsi="宋体"/>
          <w:sz w:val="28"/>
          <w:szCs w:val="28"/>
        </w:rPr>
      </w:pPr>
      <w:r>
        <w:rPr>
          <w:rFonts w:hint="eastAsia" w:ascii="宋体" w:hAnsi="宋体"/>
          <w:sz w:val="28"/>
          <w:szCs w:val="28"/>
        </w:rPr>
        <w:t>水源：项目给水水源采用市政自来水，由工厂周围的市政给水管网上引入。</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建设项目采用生产、生活与消防分流制，云内动力原有已建生产生活合用给水管道呈环状敷设，主管管径为DN200，从市政给水主干管上引入，引入处水压p=0.30MPa，引入管管径为DN200。</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2.排水</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建设项目排放的污水为生活污水和生产废水。</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生活污水量按给水量100%计，生产废水量根据工艺资料确定，排水量及排水规律见表2-21。</w:t>
      </w:r>
    </w:p>
    <w:p>
      <w:pPr>
        <w:tabs>
          <w:tab w:val="left" w:pos="3315"/>
        </w:tabs>
        <w:jc w:val="center"/>
        <w:rPr>
          <w:rFonts w:ascii="宋体" w:hAnsi="宋体"/>
          <w:b/>
          <w:snapToGrid w:val="0"/>
          <w:sz w:val="24"/>
        </w:rPr>
      </w:pPr>
      <w:r>
        <w:rPr>
          <w:rFonts w:ascii="宋体" w:hAnsi="宋体"/>
          <w:b/>
          <w:snapToGrid w:val="0"/>
          <w:sz w:val="24"/>
        </w:rPr>
        <w:t>表</w:t>
      </w:r>
      <w:r>
        <w:rPr>
          <w:rFonts w:hint="eastAsia" w:ascii="宋体" w:hAnsi="宋体"/>
          <w:b/>
          <w:snapToGrid w:val="0"/>
          <w:sz w:val="24"/>
        </w:rPr>
        <w:t>2-21</w:t>
      </w:r>
      <w:r>
        <w:rPr>
          <w:rFonts w:ascii="宋体" w:hAnsi="宋体"/>
          <w:b/>
          <w:snapToGrid w:val="0"/>
          <w:sz w:val="24"/>
        </w:rPr>
        <w:t xml:space="preserve"> 排水量统计表</w:t>
      </w:r>
    </w:p>
    <w:tbl>
      <w:tblPr>
        <w:tblStyle w:val="52"/>
        <w:tblW w:w="9497" w:type="dxa"/>
        <w:jc w:val="center"/>
        <w:tblLayout w:type="fixed"/>
        <w:tblCellMar>
          <w:top w:w="0" w:type="dxa"/>
          <w:left w:w="0" w:type="dxa"/>
          <w:bottom w:w="0" w:type="dxa"/>
          <w:right w:w="0" w:type="dxa"/>
        </w:tblCellMar>
      </w:tblPr>
      <w:tblGrid>
        <w:gridCol w:w="1862"/>
        <w:gridCol w:w="1887"/>
        <w:gridCol w:w="2437"/>
        <w:gridCol w:w="1774"/>
        <w:gridCol w:w="1537"/>
      </w:tblGrid>
      <w:tr>
        <w:tblPrEx>
          <w:tblCellMar>
            <w:top w:w="0" w:type="dxa"/>
            <w:left w:w="0" w:type="dxa"/>
            <w:bottom w:w="0" w:type="dxa"/>
            <w:right w:w="0" w:type="dxa"/>
          </w:tblCellMar>
        </w:tblPrEx>
        <w:trPr>
          <w:trHeight w:val="500" w:hRule="atLeast"/>
          <w:jc w:val="center"/>
        </w:trPr>
        <w:tc>
          <w:tcPr>
            <w:tcW w:w="1862" w:type="dxa"/>
            <w:tcBorders>
              <w:top w:val="single" w:color="000000" w:sz="4" w:space="0"/>
              <w:left w:val="single" w:color="000000" w:sz="4" w:space="0"/>
              <w:bottom w:val="nil"/>
              <w:right w:val="single" w:color="000000" w:sz="4" w:space="0"/>
            </w:tcBorders>
            <w:noWrap/>
            <w:vAlign w:val="center"/>
          </w:tcPr>
          <w:p>
            <w:pPr>
              <w:jc w:val="center"/>
              <w:rPr>
                <w:rFonts w:ascii="宋体" w:hAnsi="宋体"/>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序号</w:t>
            </w:r>
          </w:p>
        </w:tc>
        <w:tc>
          <w:tcPr>
            <w:tcW w:w="1887" w:type="dxa"/>
            <w:tcBorders>
              <w:top w:val="single" w:color="000000" w:sz="4" w:space="0"/>
              <w:left w:val="nil"/>
              <w:bottom w:val="nil"/>
              <w:right w:val="single" w:color="000000" w:sz="4" w:space="0"/>
            </w:tcBorders>
            <w:noWrap/>
            <w:vAlign w:val="center"/>
          </w:tcPr>
          <w:p>
            <w:pPr>
              <w:jc w:val="center"/>
              <w:rPr>
                <w:rFonts w:ascii="宋体" w:hAnsi="宋体"/>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排水名称</w:t>
            </w:r>
          </w:p>
        </w:tc>
        <w:tc>
          <w:tcPr>
            <w:tcW w:w="2437" w:type="dxa"/>
            <w:tcBorders>
              <w:top w:val="single" w:color="000000" w:sz="4" w:space="0"/>
              <w:left w:val="nil"/>
              <w:bottom w:val="nil"/>
              <w:right w:val="single" w:color="000000" w:sz="4" w:space="0"/>
            </w:tcBorders>
            <w:noWrap/>
            <w:vAlign w:val="center"/>
          </w:tcPr>
          <w:p>
            <w:pPr>
              <w:jc w:val="center"/>
              <w:rPr>
                <w:rFonts w:ascii="宋体" w:hAnsi="宋体"/>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排放量（m³/d）</w:t>
            </w:r>
          </w:p>
        </w:tc>
        <w:tc>
          <w:tcPr>
            <w:tcW w:w="1774" w:type="dxa"/>
            <w:tcBorders>
              <w:top w:val="single" w:color="000000" w:sz="4" w:space="0"/>
              <w:left w:val="nil"/>
              <w:bottom w:val="nil"/>
              <w:right w:val="single" w:color="000000" w:sz="4" w:space="0"/>
            </w:tcBorders>
            <w:noWrap/>
            <w:vAlign w:val="center"/>
          </w:tcPr>
          <w:p>
            <w:pPr>
              <w:jc w:val="center"/>
              <w:rPr>
                <w:rFonts w:ascii="宋体" w:hAnsi="宋体"/>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排水规律</w:t>
            </w:r>
          </w:p>
        </w:tc>
        <w:tc>
          <w:tcPr>
            <w:tcW w:w="1537" w:type="dxa"/>
            <w:tcBorders>
              <w:top w:val="single" w:color="000000" w:sz="4" w:space="0"/>
              <w:left w:val="nil"/>
              <w:bottom w:val="nil"/>
              <w:right w:val="single" w:color="000000" w:sz="4" w:space="0"/>
            </w:tcBorders>
            <w:noWrap/>
            <w:vAlign w:val="center"/>
          </w:tcPr>
          <w:p>
            <w:pPr>
              <w:jc w:val="center"/>
              <w:rPr>
                <w:rFonts w:ascii="宋体" w:hAnsi="宋体"/>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备注</w:t>
            </w:r>
          </w:p>
        </w:tc>
      </w:tr>
      <w:tr>
        <w:tblPrEx>
          <w:tblCellMar>
            <w:top w:w="0" w:type="dxa"/>
            <w:left w:w="0" w:type="dxa"/>
            <w:bottom w:w="0" w:type="dxa"/>
            <w:right w:w="0" w:type="dxa"/>
          </w:tblCellMar>
        </w:tblPrEx>
        <w:trPr>
          <w:trHeight w:val="500" w:hRule="atLeast"/>
          <w:jc w:val="center"/>
        </w:trPr>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188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生产废水</w:t>
            </w:r>
          </w:p>
        </w:tc>
        <w:tc>
          <w:tcPr>
            <w:tcW w:w="243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r>
              <w:rPr>
                <w:rFonts w:ascii="宋体" w:hAnsi="宋体"/>
                <w:color w:val="000000" w:themeColor="text1"/>
                <w:szCs w:val="21"/>
                <w14:textFill>
                  <w14:solidFill>
                    <w14:schemeClr w14:val="tx1"/>
                  </w14:solidFill>
                </w14:textFill>
              </w:rPr>
              <w:t>.0</w:t>
            </w:r>
          </w:p>
        </w:tc>
        <w:tc>
          <w:tcPr>
            <w:tcW w:w="1774"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每天排放</w:t>
            </w:r>
          </w:p>
        </w:tc>
        <w:tc>
          <w:tcPr>
            <w:tcW w:w="153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500" w:hRule="atLeast"/>
          <w:jc w:val="center"/>
        </w:trPr>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p>
        </w:tc>
        <w:tc>
          <w:tcPr>
            <w:tcW w:w="188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生活污水</w:t>
            </w:r>
          </w:p>
        </w:tc>
        <w:tc>
          <w:tcPr>
            <w:tcW w:w="243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12.5</w:t>
            </w:r>
          </w:p>
        </w:tc>
        <w:tc>
          <w:tcPr>
            <w:tcW w:w="1774"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每天排放</w:t>
            </w:r>
          </w:p>
        </w:tc>
        <w:tc>
          <w:tcPr>
            <w:tcW w:w="153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547" w:hRule="atLeast"/>
          <w:jc w:val="center"/>
        </w:trPr>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合计</w:t>
            </w:r>
          </w:p>
        </w:tc>
        <w:tc>
          <w:tcPr>
            <w:tcW w:w="188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p>
        </w:tc>
        <w:tc>
          <w:tcPr>
            <w:tcW w:w="243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w:t>
            </w:r>
            <w:r>
              <w:rPr>
                <w:rFonts w:ascii="宋体" w:hAnsi="宋体"/>
                <w:color w:val="000000" w:themeColor="text1"/>
                <w:szCs w:val="21"/>
                <w14:textFill>
                  <w14:solidFill>
                    <w14:schemeClr w14:val="tx1"/>
                  </w14:solidFill>
                </w14:textFill>
              </w:rPr>
              <w:t>.5</w:t>
            </w:r>
          </w:p>
        </w:tc>
        <w:tc>
          <w:tcPr>
            <w:tcW w:w="1774"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p>
        </w:tc>
        <w:tc>
          <w:tcPr>
            <w:tcW w:w="1537"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themeColor="text1"/>
                <w:szCs w:val="21"/>
                <w14:textFill>
                  <w14:solidFill>
                    <w14:schemeClr w14:val="tx1"/>
                  </w14:solidFill>
                </w14:textFill>
              </w:rPr>
            </w:pPr>
          </w:p>
        </w:tc>
      </w:tr>
    </w:tbl>
    <w:p>
      <w:pPr>
        <w:adjustRightInd w:val="0"/>
        <w:snapToGrid w:val="0"/>
        <w:spacing w:line="360" w:lineRule="auto"/>
        <w:ind w:firstLine="560" w:firstLineChars="200"/>
        <w:rPr>
          <w:rFonts w:ascii="宋体" w:hAnsi="宋体" w:cs="宋体"/>
          <w:sz w:val="28"/>
          <w:szCs w:val="28"/>
        </w:rPr>
      </w:pPr>
      <w:r>
        <w:rPr>
          <w:rFonts w:hint="eastAsia" w:ascii="宋体" w:hAnsi="宋体"/>
          <w:sz w:val="28"/>
          <w:szCs w:val="28"/>
        </w:rPr>
        <w:t>（1）室内外排水为生产废水、生活污水、雨水分流制。</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（2）车间雨水采用重力或虹吸排水系统，经统一收集后排入厂区雨水系统。雨水排出管采用就近分散排入周围厂区雨水管，最终排入市政雨水管道。</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（3）生活污水经预处理后排入厂区污水处理站处理达标后排入厂区周边市政污水管网。厂房生活污水排放总量：Q=12.5m</w:t>
      </w:r>
      <w:r>
        <w:rPr>
          <w:rFonts w:hint="eastAsia" w:ascii="宋体" w:hAnsi="宋体"/>
          <w:sz w:val="28"/>
          <w:szCs w:val="28"/>
          <w:vertAlign w:val="superscript"/>
        </w:rPr>
        <w:t>3</w:t>
      </w:r>
      <w:r>
        <w:rPr>
          <w:rFonts w:hint="eastAsia" w:ascii="宋体" w:hAnsi="宋体"/>
          <w:sz w:val="28"/>
          <w:szCs w:val="28"/>
        </w:rPr>
        <w:t>/d，排污管管径DN300mm。</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（4）厂房生产废水总量：Q=10m</w:t>
      </w:r>
      <w:r>
        <w:rPr>
          <w:rFonts w:hint="eastAsia" w:ascii="宋体" w:hAnsi="宋体"/>
          <w:sz w:val="28"/>
          <w:szCs w:val="28"/>
          <w:vertAlign w:val="superscript"/>
        </w:rPr>
        <w:t>3</w:t>
      </w:r>
      <w:r>
        <w:rPr>
          <w:rFonts w:hint="eastAsia" w:ascii="宋体" w:hAnsi="宋体"/>
          <w:sz w:val="28"/>
          <w:szCs w:val="28"/>
        </w:rPr>
        <w:t>/d，目前污水处理站生产废水的处理能力为7</w:t>
      </w:r>
      <w:r>
        <w:rPr>
          <w:rFonts w:hint="eastAsia"/>
          <w:kern w:val="0"/>
          <w:sz w:val="28"/>
          <w:szCs w:val="28"/>
        </w:rPr>
        <w:t>~</w:t>
      </w:r>
      <w:r>
        <w:rPr>
          <w:rFonts w:hint="eastAsia" w:ascii="宋体" w:hAnsi="宋体"/>
          <w:sz w:val="28"/>
          <w:szCs w:val="28"/>
        </w:rPr>
        <w:t>10m</w:t>
      </w:r>
      <w:r>
        <w:rPr>
          <w:rFonts w:hint="eastAsia" w:ascii="宋体" w:hAnsi="宋体"/>
          <w:sz w:val="28"/>
          <w:szCs w:val="28"/>
          <w:vertAlign w:val="superscript"/>
        </w:rPr>
        <w:t>3</w:t>
      </w:r>
      <w:r>
        <w:rPr>
          <w:rFonts w:hint="eastAsia" w:ascii="宋体" w:hAnsi="宋体"/>
          <w:sz w:val="28"/>
          <w:szCs w:val="28"/>
        </w:rPr>
        <w:t>/h，能够满足本项目的生产废水处理能力，经厂污水处理站处理达标后排入厂区周边市政污水管网。</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（5）雨、污排水管采用地下直埋敷设于厂区绿化带。</w:t>
      </w:r>
    </w:p>
    <w:p>
      <w:pPr>
        <w:pStyle w:val="5"/>
        <w:keepNext w:val="0"/>
        <w:keepLines w:val="0"/>
        <w:snapToGrid w:val="0"/>
        <w:spacing w:before="0" w:after="0" w:line="360" w:lineRule="auto"/>
        <w:jc w:val="left"/>
        <w:rPr>
          <w:rFonts w:ascii="宋体" w:hAnsi="宋体" w:cs="宋体"/>
          <w:sz w:val="28"/>
          <w:szCs w:val="28"/>
        </w:rPr>
      </w:pPr>
      <w:bookmarkStart w:id="233" w:name="_Toc31794"/>
      <w:r>
        <w:rPr>
          <w:rFonts w:hint="eastAsia" w:ascii="宋体" w:hAnsi="宋体" w:cs="宋体"/>
          <w:sz w:val="28"/>
          <w:szCs w:val="28"/>
        </w:rPr>
        <w:t>2.9.3供配电</w:t>
      </w:r>
      <w:bookmarkEnd w:id="233"/>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本项目由厂区内110/10kV降压站引来2路10kV电源。两路10kV电源经厂区项目电缆沟及埋地管道分别接入第三联合厂房东侧处的2个10/0.4kV变电所，每个变电所10/0.4kV分别设置2台2000kVA变压器。</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1.用电负荷</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配电变压器安装总容量为8000kVA。</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本项目室外消防用水量为20L/s，消防及其他用电负荷均为三级负荷。</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2.供电</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本项目由厂区内110/10kV降压站引来2路10kV电源。两路10kV电源经厂区项目电缆沟及埋地管道分别接入第三联合厂房东侧处的2个10/0.4kV变电所，每个变电所10/0.4kV分别设置2台2000kVA变压器。</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（1）变电所0.4kV系统采用单母线分段系统。</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（2）无功功率补偿采用低压电力电容器装置在各变电所低压侧，集中自动补偿。补偿后全厂平均功率因数不小于0.93。</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（3）全厂电能计量采用高供高计方式，在厂区10kV端设专用高压计量装置，集中计量。另在车间变电所各变压器低压侧设总计量及各馈电回路设分路计量。</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3.线路敷设</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厂区室外电力线路采用YJV22-8.7/10kV、YJV22-0.6/1kV铠装电缆沿电缆沟敷设，穿越道路及入户时穿钢管保护埋设。</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4.照明</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生产车间采用高光效大功率LED灯具。生产辅房及厂房内办公区域照明采用LED平板灯具（T5灯管），辅以紧凑型节能灯。变配电室设置应急照明，应急照明灯具自带蓄电池作备用电源，备用照明蓄电池应急时间不少于180min。</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5.供配电设备</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10/0.4kV变电设备选用干式变压器，并自带IP3X保护外壳、冷却风机等。低压配电设备选用GCS型开关柜，低压出线采用低压断路器作过流兼速断保护。</w:t>
      </w:r>
    </w:p>
    <w:p>
      <w:pPr>
        <w:pStyle w:val="5"/>
        <w:keepNext w:val="0"/>
        <w:keepLines w:val="0"/>
        <w:snapToGrid w:val="0"/>
        <w:spacing w:before="0" w:after="0" w:line="360" w:lineRule="auto"/>
        <w:jc w:val="left"/>
        <w:rPr>
          <w:rFonts w:ascii="宋体" w:hAnsi="宋体" w:cs="宋体"/>
          <w:sz w:val="28"/>
          <w:szCs w:val="28"/>
        </w:rPr>
      </w:pPr>
      <w:bookmarkStart w:id="234" w:name="_Toc10430"/>
      <w:r>
        <w:rPr>
          <w:rFonts w:hint="eastAsia" w:ascii="宋体" w:hAnsi="宋体" w:cs="宋体"/>
          <w:sz w:val="28"/>
          <w:szCs w:val="28"/>
        </w:rPr>
        <w:t>2.9.4消防</w:t>
      </w:r>
      <w:bookmarkEnd w:id="234"/>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本项目利用新建第三联合厂房建设，厂区现有消防系统已依据相关规范进行设计，企业内建设有消防站，能满足本项目建设要求。</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第三联合厂房与其它建、构筑物建筑防火间距的设置符合消防规范要求。厂区内道路呈环状布置，道路宽度，道路转弯半径符合规范要求，消防通道畅通，能保证火灾施救时消防车顺利通过。</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本项目为新建厂房，项目厂房的耐火等级不低于二级，火灾危险性类别为丁类。新建厂房的消防措施，符合消防规范要求。</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在厂区内已建专用消防水池及加压泵房，消防水池有效容积按V=216m³。并从室外给水管道接入DN100mm进水管一条，作为消防水池补水使用。</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根据《消防给水及消火栓系统技术规范》的规定，本工程消防用水总量为30L/S，其中室内消火栓为10L/S，室外消火栓为20L/S，火灾延续时间2h。在车间内配置灭火器，应急疏散照明和疏散指示等。</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本项目消防设施配置情况见表2-22。</w:t>
      </w:r>
    </w:p>
    <w:p>
      <w:pPr>
        <w:jc w:val="center"/>
        <w:rPr>
          <w:rFonts w:ascii="宋体" w:hAnsi="宋体" w:cs="宋体"/>
          <w:bCs/>
          <w:sz w:val="24"/>
        </w:rPr>
      </w:pPr>
      <w:bookmarkStart w:id="235" w:name="_Hlk484302180"/>
      <w:r>
        <w:rPr>
          <w:rFonts w:hint="eastAsia" w:ascii="宋体" w:hAnsi="宋体" w:cs="宋体"/>
          <w:bCs/>
          <w:sz w:val="24"/>
        </w:rPr>
        <w:t>表2-22消防设施和器材一览表</w:t>
      </w:r>
    </w:p>
    <w:tbl>
      <w:tblPr>
        <w:tblStyle w:val="52"/>
        <w:tblW w:w="955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59"/>
        <w:gridCol w:w="2394"/>
        <w:gridCol w:w="1737"/>
        <w:gridCol w:w="1362"/>
        <w:gridCol w:w="1287"/>
        <w:gridCol w:w="16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2" w:hRule="atLeast"/>
          <w:tblHeader/>
          <w:jc w:val="center"/>
        </w:trPr>
        <w:tc>
          <w:tcPr>
            <w:tcW w:w="1159" w:type="dxa"/>
            <w:vAlign w:val="center"/>
          </w:tcPr>
          <w:p>
            <w:pPr>
              <w:jc w:val="center"/>
              <w:rPr>
                <w:rFonts w:ascii="宋体" w:hAnsi="宋体"/>
                <w:b/>
                <w:sz w:val="24"/>
              </w:rPr>
            </w:pPr>
            <w:r>
              <w:rPr>
                <w:rFonts w:hint="eastAsia" w:ascii="宋体" w:hAnsi="宋体"/>
                <w:b/>
                <w:sz w:val="24"/>
              </w:rPr>
              <w:t>序号</w:t>
            </w:r>
          </w:p>
        </w:tc>
        <w:tc>
          <w:tcPr>
            <w:tcW w:w="2394" w:type="dxa"/>
            <w:vAlign w:val="center"/>
          </w:tcPr>
          <w:p>
            <w:pPr>
              <w:jc w:val="center"/>
              <w:rPr>
                <w:rFonts w:ascii="宋体" w:hAnsi="宋体"/>
                <w:b/>
                <w:sz w:val="24"/>
              </w:rPr>
            </w:pPr>
            <w:r>
              <w:rPr>
                <w:rFonts w:hint="eastAsia" w:ascii="宋体" w:hAnsi="宋体"/>
                <w:b/>
                <w:sz w:val="24"/>
              </w:rPr>
              <w:t>名称</w:t>
            </w:r>
          </w:p>
        </w:tc>
        <w:tc>
          <w:tcPr>
            <w:tcW w:w="1737" w:type="dxa"/>
            <w:vAlign w:val="center"/>
          </w:tcPr>
          <w:p>
            <w:pPr>
              <w:jc w:val="center"/>
              <w:rPr>
                <w:rFonts w:ascii="宋体" w:hAnsi="宋体"/>
                <w:b/>
                <w:sz w:val="24"/>
              </w:rPr>
            </w:pPr>
            <w:r>
              <w:rPr>
                <w:rFonts w:hint="eastAsia" w:ascii="宋体" w:hAnsi="宋体"/>
                <w:b/>
                <w:sz w:val="24"/>
              </w:rPr>
              <w:t>型号</w:t>
            </w:r>
          </w:p>
        </w:tc>
        <w:tc>
          <w:tcPr>
            <w:tcW w:w="1362" w:type="dxa"/>
            <w:tcMar>
              <w:left w:w="28" w:type="dxa"/>
              <w:right w:w="28" w:type="dxa"/>
            </w:tcMar>
            <w:vAlign w:val="center"/>
          </w:tcPr>
          <w:p>
            <w:pPr>
              <w:jc w:val="center"/>
              <w:rPr>
                <w:rFonts w:ascii="宋体" w:hAnsi="宋体"/>
                <w:b/>
                <w:sz w:val="24"/>
              </w:rPr>
            </w:pPr>
            <w:r>
              <w:rPr>
                <w:rFonts w:hint="eastAsia" w:ascii="宋体" w:hAnsi="宋体"/>
                <w:b/>
                <w:sz w:val="24"/>
              </w:rPr>
              <w:t>数量</w:t>
            </w:r>
          </w:p>
        </w:tc>
        <w:tc>
          <w:tcPr>
            <w:tcW w:w="1287" w:type="dxa"/>
            <w:vAlign w:val="center"/>
          </w:tcPr>
          <w:p>
            <w:pPr>
              <w:jc w:val="center"/>
              <w:rPr>
                <w:rFonts w:ascii="宋体" w:hAnsi="宋体"/>
                <w:b/>
                <w:sz w:val="24"/>
              </w:rPr>
            </w:pPr>
            <w:r>
              <w:rPr>
                <w:rFonts w:hint="eastAsia" w:ascii="宋体" w:hAnsi="宋体"/>
                <w:b/>
                <w:sz w:val="24"/>
              </w:rPr>
              <w:t>单位</w:t>
            </w:r>
          </w:p>
        </w:tc>
        <w:tc>
          <w:tcPr>
            <w:tcW w:w="1617" w:type="dxa"/>
            <w:vAlign w:val="center"/>
          </w:tcPr>
          <w:p>
            <w:pPr>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159" w:type="dxa"/>
            <w:vAlign w:val="center"/>
          </w:tcPr>
          <w:p>
            <w:pPr>
              <w:snapToGrid w:val="0"/>
              <w:jc w:val="center"/>
              <w:rPr>
                <w:rFonts w:ascii="宋体" w:hAnsi="Arial"/>
                <w:position w:val="-28"/>
              </w:rPr>
            </w:pPr>
            <w:r>
              <w:rPr>
                <w:rFonts w:hint="eastAsia" w:ascii="宋体" w:hAnsi="Arial"/>
                <w:position w:val="-28"/>
              </w:rPr>
              <w:t>１</w:t>
            </w:r>
          </w:p>
        </w:tc>
        <w:tc>
          <w:tcPr>
            <w:tcW w:w="2394" w:type="dxa"/>
            <w:vAlign w:val="center"/>
          </w:tcPr>
          <w:p>
            <w:pPr>
              <w:snapToGrid w:val="0"/>
              <w:jc w:val="center"/>
              <w:rPr>
                <w:rFonts w:ascii="宋体" w:hAnsi="Arial"/>
                <w:position w:val="-28"/>
              </w:rPr>
            </w:pPr>
            <w:r>
              <w:rPr>
                <w:rFonts w:hint="eastAsia" w:ascii="宋体" w:hAnsi="Arial"/>
                <w:position w:val="-28"/>
              </w:rPr>
              <w:t>室内消火栓</w:t>
            </w:r>
          </w:p>
        </w:tc>
        <w:tc>
          <w:tcPr>
            <w:tcW w:w="1737" w:type="dxa"/>
            <w:vAlign w:val="center"/>
          </w:tcPr>
          <w:p>
            <w:pPr>
              <w:snapToGrid w:val="0"/>
              <w:jc w:val="center"/>
              <w:rPr>
                <w:rFonts w:ascii="宋体" w:hAnsi="Arial"/>
                <w:position w:val="-28"/>
              </w:rPr>
            </w:pPr>
            <w:r>
              <w:rPr>
                <w:rFonts w:hint="eastAsia" w:ascii="宋体" w:hAnsi="Arial"/>
                <w:position w:val="-28"/>
              </w:rPr>
              <w:t>SN65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13</w:t>
            </w:r>
          </w:p>
        </w:tc>
        <w:tc>
          <w:tcPr>
            <w:tcW w:w="1287" w:type="dxa"/>
            <w:vAlign w:val="center"/>
          </w:tcPr>
          <w:p>
            <w:pPr>
              <w:snapToGrid w:val="0"/>
              <w:jc w:val="center"/>
              <w:rPr>
                <w:rFonts w:ascii="宋体" w:hAnsi="Arial"/>
                <w:position w:val="-28"/>
              </w:rPr>
            </w:pPr>
            <w:r>
              <w:rPr>
                <w:rFonts w:hint="eastAsia" w:ascii="宋体" w:hAnsi="Arial"/>
                <w:position w:val="-28"/>
              </w:rPr>
              <w:t>个</w:t>
            </w:r>
          </w:p>
        </w:tc>
        <w:tc>
          <w:tcPr>
            <w:tcW w:w="1617" w:type="dxa"/>
            <w:vMerge w:val="restart"/>
            <w:vAlign w:val="center"/>
          </w:tcPr>
          <w:p>
            <w:pPr>
              <w:snapToGrid w:val="0"/>
              <w:jc w:val="center"/>
              <w:rPr>
                <w:rFonts w:ascii="宋体" w:hAnsi="Arial"/>
                <w:position w:val="-28"/>
              </w:rPr>
            </w:pPr>
            <w:r>
              <w:rPr>
                <w:rFonts w:hint="eastAsia" w:ascii="宋体" w:hAnsi="Arial"/>
                <w:position w:val="-28"/>
              </w:rPr>
              <w:t>二联合厂房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1159" w:type="dxa"/>
            <w:vAlign w:val="center"/>
          </w:tcPr>
          <w:p>
            <w:pPr>
              <w:snapToGrid w:val="0"/>
              <w:jc w:val="center"/>
              <w:rPr>
                <w:rFonts w:ascii="宋体" w:hAnsi="Arial"/>
                <w:position w:val="-28"/>
              </w:rPr>
            </w:pPr>
            <w:r>
              <w:rPr>
                <w:rFonts w:hint="eastAsia" w:ascii="宋体" w:hAnsi="Arial"/>
                <w:position w:val="-28"/>
              </w:rPr>
              <w:t>2</w:t>
            </w:r>
          </w:p>
        </w:tc>
        <w:tc>
          <w:tcPr>
            <w:tcW w:w="2394" w:type="dxa"/>
            <w:vAlign w:val="center"/>
          </w:tcPr>
          <w:p>
            <w:pPr>
              <w:snapToGrid w:val="0"/>
              <w:jc w:val="center"/>
              <w:rPr>
                <w:rFonts w:ascii="宋体" w:hAnsi="Arial"/>
                <w:position w:val="-28"/>
              </w:rPr>
            </w:pPr>
            <w:r>
              <w:rPr>
                <w:rFonts w:hint="eastAsia" w:ascii="宋体" w:hAnsi="Arial"/>
                <w:position w:val="-28"/>
              </w:rPr>
              <w:t>手提干粉灭火器</w:t>
            </w:r>
          </w:p>
        </w:tc>
        <w:tc>
          <w:tcPr>
            <w:tcW w:w="1737" w:type="dxa"/>
            <w:vAlign w:val="center"/>
          </w:tcPr>
          <w:p>
            <w:pPr>
              <w:snapToGrid w:val="0"/>
              <w:jc w:val="center"/>
              <w:rPr>
                <w:rFonts w:ascii="宋体" w:hAnsi="Arial"/>
                <w:position w:val="-28"/>
              </w:rPr>
            </w:pPr>
            <w:r>
              <w:rPr>
                <w:rFonts w:hint="eastAsia" w:ascii="宋体" w:hAnsi="Arial"/>
                <w:position w:val="-28"/>
              </w:rPr>
              <w:t>MF/ABC5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16</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Merge w:val="continue"/>
            <w:vAlign w:val="center"/>
          </w:tcPr>
          <w:p>
            <w:pPr>
              <w:snapToGrid w:val="0"/>
              <w:jc w:val="center"/>
              <w:rPr>
                <w:rFonts w:ascii="宋体" w:hAnsi="Arial"/>
                <w:position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1159" w:type="dxa"/>
            <w:vAlign w:val="center"/>
          </w:tcPr>
          <w:p>
            <w:pPr>
              <w:snapToGrid w:val="0"/>
              <w:jc w:val="center"/>
              <w:rPr>
                <w:rFonts w:ascii="宋体" w:hAnsi="Arial"/>
                <w:position w:val="-28"/>
              </w:rPr>
            </w:pPr>
            <w:r>
              <w:rPr>
                <w:rFonts w:hint="eastAsia" w:ascii="宋体" w:hAnsi="Arial"/>
                <w:position w:val="-28"/>
              </w:rPr>
              <w:t>3</w:t>
            </w:r>
          </w:p>
        </w:tc>
        <w:tc>
          <w:tcPr>
            <w:tcW w:w="2394" w:type="dxa"/>
            <w:vAlign w:val="center"/>
          </w:tcPr>
          <w:p>
            <w:pPr>
              <w:snapToGrid w:val="0"/>
              <w:jc w:val="center"/>
              <w:rPr>
                <w:rFonts w:ascii="宋体" w:hAnsi="Arial"/>
                <w:position w:val="-28"/>
              </w:rPr>
            </w:pPr>
            <w:r>
              <w:rPr>
                <w:rFonts w:hint="eastAsia" w:ascii="宋体" w:hAnsi="Arial"/>
                <w:position w:val="-28"/>
              </w:rPr>
              <w:t>推车式干粉灭火器</w:t>
            </w:r>
          </w:p>
        </w:tc>
        <w:tc>
          <w:tcPr>
            <w:tcW w:w="1737" w:type="dxa"/>
            <w:vAlign w:val="center"/>
          </w:tcPr>
          <w:p>
            <w:pPr>
              <w:snapToGrid w:val="0"/>
              <w:jc w:val="center"/>
              <w:rPr>
                <w:rFonts w:ascii="宋体" w:hAnsi="Arial"/>
                <w:position w:val="-28"/>
              </w:rPr>
            </w:pPr>
            <w:r>
              <w:rPr>
                <w:rFonts w:hint="eastAsia" w:ascii="宋体" w:hAnsi="Arial"/>
                <w:position w:val="-28"/>
              </w:rPr>
              <w:t>35kg</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4</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Merge w:val="continue"/>
            <w:vAlign w:val="center"/>
          </w:tcPr>
          <w:p>
            <w:pPr>
              <w:snapToGrid w:val="0"/>
              <w:jc w:val="center"/>
              <w:rPr>
                <w:rFonts w:ascii="宋体" w:hAnsi="Arial"/>
                <w:position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1159" w:type="dxa"/>
            <w:vAlign w:val="center"/>
          </w:tcPr>
          <w:p>
            <w:pPr>
              <w:snapToGrid w:val="0"/>
              <w:jc w:val="center"/>
              <w:rPr>
                <w:rFonts w:ascii="宋体" w:hAnsi="Arial"/>
                <w:position w:val="-28"/>
              </w:rPr>
            </w:pPr>
            <w:r>
              <w:rPr>
                <w:rFonts w:hint="eastAsia" w:ascii="宋体" w:hAnsi="Arial"/>
                <w:position w:val="-28"/>
              </w:rPr>
              <w:t>4</w:t>
            </w:r>
          </w:p>
        </w:tc>
        <w:tc>
          <w:tcPr>
            <w:tcW w:w="2394" w:type="dxa"/>
            <w:vAlign w:val="center"/>
          </w:tcPr>
          <w:p>
            <w:pPr>
              <w:snapToGrid w:val="0"/>
              <w:jc w:val="center"/>
              <w:rPr>
                <w:rFonts w:ascii="宋体" w:hAnsi="Arial"/>
                <w:position w:val="-28"/>
              </w:rPr>
            </w:pPr>
            <w:r>
              <w:rPr>
                <w:rFonts w:hint="eastAsia" w:ascii="宋体" w:hAnsi="Arial"/>
                <w:position w:val="-28"/>
              </w:rPr>
              <w:t>室内消火栓</w:t>
            </w:r>
          </w:p>
        </w:tc>
        <w:tc>
          <w:tcPr>
            <w:tcW w:w="1737" w:type="dxa"/>
          </w:tcPr>
          <w:p>
            <w:pPr>
              <w:snapToGrid w:val="0"/>
              <w:jc w:val="center"/>
              <w:rPr>
                <w:rFonts w:ascii="宋体" w:hAnsi="Arial"/>
                <w:position w:val="-28"/>
              </w:rPr>
            </w:pPr>
            <w:r>
              <w:rPr>
                <w:rFonts w:hint="eastAsia" w:ascii="宋体" w:hAnsi="Arial"/>
                <w:position w:val="-28"/>
              </w:rPr>
              <w:t>SN65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16</w:t>
            </w:r>
          </w:p>
        </w:tc>
        <w:tc>
          <w:tcPr>
            <w:tcW w:w="1287" w:type="dxa"/>
            <w:vAlign w:val="center"/>
          </w:tcPr>
          <w:p>
            <w:pPr>
              <w:snapToGrid w:val="0"/>
              <w:jc w:val="center"/>
              <w:rPr>
                <w:rFonts w:ascii="宋体" w:hAnsi="Arial"/>
                <w:position w:val="-28"/>
              </w:rPr>
            </w:pPr>
            <w:r>
              <w:rPr>
                <w:rFonts w:hint="eastAsia" w:ascii="宋体" w:hAnsi="Arial"/>
                <w:position w:val="-28"/>
              </w:rPr>
              <w:t>个</w:t>
            </w:r>
          </w:p>
        </w:tc>
        <w:tc>
          <w:tcPr>
            <w:tcW w:w="1617" w:type="dxa"/>
            <w:vMerge w:val="restart"/>
            <w:vAlign w:val="center"/>
          </w:tcPr>
          <w:p>
            <w:pPr>
              <w:snapToGrid w:val="0"/>
              <w:jc w:val="center"/>
              <w:rPr>
                <w:rFonts w:ascii="宋体" w:hAnsi="Arial"/>
                <w:position w:val="-28"/>
              </w:rPr>
            </w:pPr>
            <w:r>
              <w:rPr>
                <w:rFonts w:hint="eastAsia" w:ascii="宋体" w:hAnsi="Arial"/>
                <w:position w:val="-28"/>
              </w:rPr>
              <w:t>二成品库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1159" w:type="dxa"/>
            <w:vAlign w:val="center"/>
          </w:tcPr>
          <w:p>
            <w:pPr>
              <w:snapToGrid w:val="0"/>
              <w:jc w:val="center"/>
              <w:rPr>
                <w:rFonts w:ascii="宋体" w:hAnsi="Arial"/>
                <w:position w:val="-28"/>
              </w:rPr>
            </w:pPr>
            <w:r>
              <w:rPr>
                <w:rFonts w:hint="eastAsia" w:ascii="宋体" w:hAnsi="Arial"/>
                <w:position w:val="-28"/>
              </w:rPr>
              <w:t>5</w:t>
            </w:r>
          </w:p>
        </w:tc>
        <w:tc>
          <w:tcPr>
            <w:tcW w:w="2394" w:type="dxa"/>
            <w:vAlign w:val="center"/>
          </w:tcPr>
          <w:p>
            <w:pPr>
              <w:snapToGrid w:val="0"/>
              <w:jc w:val="center"/>
              <w:rPr>
                <w:rFonts w:ascii="宋体" w:hAnsi="Arial"/>
                <w:position w:val="-28"/>
              </w:rPr>
            </w:pPr>
            <w:r>
              <w:rPr>
                <w:rFonts w:hint="eastAsia" w:ascii="宋体" w:hAnsi="Arial"/>
                <w:position w:val="-28"/>
              </w:rPr>
              <w:t>手提干粉灭火器</w:t>
            </w:r>
          </w:p>
        </w:tc>
        <w:tc>
          <w:tcPr>
            <w:tcW w:w="1737" w:type="dxa"/>
          </w:tcPr>
          <w:p>
            <w:pPr>
              <w:snapToGrid w:val="0"/>
              <w:jc w:val="center"/>
              <w:rPr>
                <w:rFonts w:ascii="宋体" w:hAnsi="Arial"/>
                <w:position w:val="-28"/>
              </w:rPr>
            </w:pPr>
            <w:r>
              <w:rPr>
                <w:rFonts w:hint="eastAsia" w:ascii="宋体" w:hAnsi="Arial"/>
                <w:position w:val="-28"/>
              </w:rPr>
              <w:t>MF/ABC5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32</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Merge w:val="continue"/>
            <w:vAlign w:val="center"/>
          </w:tcPr>
          <w:p>
            <w:pPr>
              <w:snapToGrid w:val="0"/>
              <w:jc w:val="center"/>
              <w:rPr>
                <w:rFonts w:ascii="宋体" w:hAnsi="Arial"/>
                <w:position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1159" w:type="dxa"/>
            <w:vAlign w:val="center"/>
          </w:tcPr>
          <w:p>
            <w:pPr>
              <w:snapToGrid w:val="0"/>
              <w:jc w:val="center"/>
              <w:rPr>
                <w:rFonts w:ascii="宋体" w:hAnsi="Arial"/>
                <w:position w:val="-28"/>
              </w:rPr>
            </w:pPr>
            <w:r>
              <w:rPr>
                <w:rFonts w:hint="eastAsia" w:ascii="宋体" w:hAnsi="Arial"/>
                <w:position w:val="-28"/>
              </w:rPr>
              <w:t>6</w:t>
            </w:r>
          </w:p>
        </w:tc>
        <w:tc>
          <w:tcPr>
            <w:tcW w:w="2394" w:type="dxa"/>
            <w:vAlign w:val="center"/>
          </w:tcPr>
          <w:p>
            <w:pPr>
              <w:snapToGrid w:val="0"/>
              <w:jc w:val="center"/>
              <w:rPr>
                <w:rFonts w:ascii="宋体" w:hAnsi="Arial"/>
                <w:position w:val="-28"/>
              </w:rPr>
            </w:pPr>
            <w:r>
              <w:rPr>
                <w:rFonts w:hint="eastAsia" w:ascii="宋体" w:hAnsi="Arial"/>
                <w:position w:val="-28"/>
              </w:rPr>
              <w:t>推车式干粉灭火器</w:t>
            </w:r>
          </w:p>
        </w:tc>
        <w:tc>
          <w:tcPr>
            <w:tcW w:w="1737" w:type="dxa"/>
            <w:vAlign w:val="center"/>
          </w:tcPr>
          <w:p>
            <w:pPr>
              <w:snapToGrid w:val="0"/>
              <w:jc w:val="center"/>
              <w:rPr>
                <w:rFonts w:ascii="宋体" w:hAnsi="Arial"/>
                <w:position w:val="-28"/>
              </w:rPr>
            </w:pPr>
            <w:r>
              <w:rPr>
                <w:rFonts w:hint="eastAsia" w:ascii="宋体" w:hAnsi="Arial"/>
                <w:position w:val="-28"/>
              </w:rPr>
              <w:t>35kg</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8</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Merge w:val="continue"/>
            <w:vAlign w:val="center"/>
          </w:tcPr>
          <w:p>
            <w:pPr>
              <w:snapToGrid w:val="0"/>
              <w:jc w:val="center"/>
              <w:rPr>
                <w:rFonts w:ascii="宋体" w:hAnsi="Arial"/>
                <w:position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16" w:hRule="atLeast"/>
          <w:jc w:val="center"/>
        </w:trPr>
        <w:tc>
          <w:tcPr>
            <w:tcW w:w="1159" w:type="dxa"/>
            <w:vAlign w:val="center"/>
          </w:tcPr>
          <w:p>
            <w:pPr>
              <w:snapToGrid w:val="0"/>
              <w:jc w:val="center"/>
              <w:rPr>
                <w:rFonts w:ascii="宋体" w:hAnsi="Arial"/>
                <w:position w:val="-28"/>
              </w:rPr>
            </w:pPr>
            <w:r>
              <w:rPr>
                <w:rFonts w:hint="eastAsia" w:ascii="宋体" w:hAnsi="Arial"/>
                <w:position w:val="-28"/>
              </w:rPr>
              <w:t>7</w:t>
            </w:r>
          </w:p>
        </w:tc>
        <w:tc>
          <w:tcPr>
            <w:tcW w:w="2394" w:type="dxa"/>
            <w:vAlign w:val="center"/>
          </w:tcPr>
          <w:p>
            <w:pPr>
              <w:snapToGrid w:val="0"/>
              <w:jc w:val="center"/>
              <w:rPr>
                <w:rFonts w:ascii="宋体" w:hAnsi="Arial"/>
                <w:position w:val="-28"/>
              </w:rPr>
            </w:pPr>
            <w:r>
              <w:rPr>
                <w:rFonts w:hint="eastAsia" w:ascii="宋体" w:hAnsi="Arial"/>
                <w:position w:val="-28"/>
              </w:rPr>
              <w:t>手提干粉灭火器</w:t>
            </w:r>
          </w:p>
        </w:tc>
        <w:tc>
          <w:tcPr>
            <w:tcW w:w="1737" w:type="dxa"/>
            <w:vAlign w:val="center"/>
          </w:tcPr>
          <w:p>
            <w:pPr>
              <w:snapToGrid w:val="0"/>
              <w:jc w:val="center"/>
              <w:rPr>
                <w:rFonts w:ascii="宋体" w:hAnsi="Arial"/>
                <w:position w:val="-28"/>
              </w:rPr>
            </w:pPr>
            <w:r>
              <w:rPr>
                <w:rFonts w:hint="eastAsia" w:ascii="宋体" w:hAnsi="Arial"/>
                <w:position w:val="-28"/>
              </w:rPr>
              <w:t>MF/ABC5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2</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Align w:val="center"/>
          </w:tcPr>
          <w:p>
            <w:pPr>
              <w:snapToGrid w:val="0"/>
              <w:jc w:val="center"/>
              <w:rPr>
                <w:rFonts w:ascii="宋体" w:hAnsi="Arial"/>
                <w:position w:val="-28"/>
              </w:rPr>
            </w:pPr>
            <w:r>
              <w:rPr>
                <w:rFonts w:hint="eastAsia" w:ascii="宋体" w:hAnsi="Arial"/>
                <w:position w:val="-28"/>
              </w:rPr>
              <w:t>二联合厂房北侧处新建的变电所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1159" w:type="dxa"/>
            <w:vAlign w:val="center"/>
          </w:tcPr>
          <w:p>
            <w:pPr>
              <w:snapToGrid w:val="0"/>
              <w:jc w:val="center"/>
              <w:rPr>
                <w:rFonts w:ascii="宋体" w:hAnsi="Arial"/>
                <w:position w:val="-28"/>
              </w:rPr>
            </w:pPr>
            <w:r>
              <w:rPr>
                <w:rFonts w:hint="eastAsia" w:ascii="宋体" w:hAnsi="Arial"/>
                <w:position w:val="-28"/>
              </w:rPr>
              <w:t>8</w:t>
            </w:r>
          </w:p>
        </w:tc>
        <w:tc>
          <w:tcPr>
            <w:tcW w:w="2394" w:type="dxa"/>
            <w:vAlign w:val="center"/>
          </w:tcPr>
          <w:p>
            <w:pPr>
              <w:snapToGrid w:val="0"/>
              <w:jc w:val="center"/>
              <w:rPr>
                <w:rFonts w:ascii="宋体" w:hAnsi="Arial"/>
                <w:position w:val="-28"/>
              </w:rPr>
            </w:pPr>
            <w:r>
              <w:rPr>
                <w:rFonts w:hint="eastAsia" w:ascii="宋体" w:hAnsi="Arial"/>
                <w:position w:val="-28"/>
              </w:rPr>
              <w:t>手提干粉灭火器</w:t>
            </w:r>
          </w:p>
        </w:tc>
        <w:tc>
          <w:tcPr>
            <w:tcW w:w="1737" w:type="dxa"/>
            <w:vAlign w:val="center"/>
          </w:tcPr>
          <w:p>
            <w:pPr>
              <w:snapToGrid w:val="0"/>
              <w:jc w:val="center"/>
              <w:rPr>
                <w:rFonts w:ascii="宋体" w:hAnsi="Arial"/>
                <w:position w:val="-28"/>
              </w:rPr>
            </w:pPr>
            <w:r>
              <w:rPr>
                <w:rFonts w:hint="eastAsia" w:ascii="宋体" w:hAnsi="Arial"/>
                <w:position w:val="-28"/>
              </w:rPr>
              <w:t>MF/ABC5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2</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Align w:val="center"/>
          </w:tcPr>
          <w:p>
            <w:pPr>
              <w:snapToGrid w:val="0"/>
              <w:jc w:val="center"/>
              <w:rPr>
                <w:rFonts w:ascii="宋体" w:hAnsi="Arial"/>
                <w:position w:val="-28"/>
              </w:rPr>
            </w:pPr>
            <w:r>
              <w:rPr>
                <w:rFonts w:hint="eastAsia" w:ascii="宋体" w:hAnsi="Arial"/>
                <w:position w:val="-28"/>
              </w:rPr>
              <w:t>空压机房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21" w:hRule="atLeast"/>
          <w:jc w:val="center"/>
        </w:trPr>
        <w:tc>
          <w:tcPr>
            <w:tcW w:w="1159" w:type="dxa"/>
            <w:vAlign w:val="center"/>
          </w:tcPr>
          <w:p>
            <w:pPr>
              <w:snapToGrid w:val="0"/>
              <w:jc w:val="center"/>
              <w:rPr>
                <w:rFonts w:ascii="宋体" w:hAnsi="Arial"/>
                <w:position w:val="-28"/>
              </w:rPr>
            </w:pPr>
            <w:r>
              <w:rPr>
                <w:rFonts w:hint="eastAsia" w:ascii="宋体" w:hAnsi="Arial"/>
                <w:position w:val="-28"/>
              </w:rPr>
              <w:t>9</w:t>
            </w:r>
          </w:p>
        </w:tc>
        <w:tc>
          <w:tcPr>
            <w:tcW w:w="2394" w:type="dxa"/>
            <w:vAlign w:val="center"/>
          </w:tcPr>
          <w:p>
            <w:pPr>
              <w:snapToGrid w:val="0"/>
              <w:jc w:val="center"/>
              <w:rPr>
                <w:rFonts w:ascii="宋体" w:hAnsi="Arial"/>
                <w:position w:val="-28"/>
              </w:rPr>
            </w:pPr>
            <w:r>
              <w:rPr>
                <w:rFonts w:hint="eastAsia" w:ascii="宋体" w:hAnsi="Arial"/>
                <w:position w:val="-28"/>
              </w:rPr>
              <w:t>手提干粉灭火器</w:t>
            </w:r>
          </w:p>
        </w:tc>
        <w:tc>
          <w:tcPr>
            <w:tcW w:w="1737" w:type="dxa"/>
            <w:vAlign w:val="center"/>
          </w:tcPr>
          <w:p>
            <w:pPr>
              <w:snapToGrid w:val="0"/>
              <w:jc w:val="center"/>
              <w:rPr>
                <w:rFonts w:ascii="宋体" w:hAnsi="Arial"/>
                <w:position w:val="-28"/>
              </w:rPr>
            </w:pPr>
            <w:r>
              <w:rPr>
                <w:rFonts w:hint="eastAsia" w:ascii="宋体" w:hAnsi="Arial"/>
                <w:position w:val="-28"/>
              </w:rPr>
              <w:t>MF/ABC5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4</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Align w:val="center"/>
          </w:tcPr>
          <w:p>
            <w:pPr>
              <w:snapToGrid w:val="0"/>
              <w:jc w:val="center"/>
              <w:rPr>
                <w:rFonts w:ascii="宋体" w:hAnsi="Arial"/>
                <w:position w:val="-28"/>
              </w:rPr>
            </w:pPr>
            <w:r>
              <w:rPr>
                <w:rFonts w:hint="eastAsia" w:ascii="宋体" w:hAnsi="Arial"/>
                <w:position w:val="-28"/>
              </w:rPr>
              <w:t>缸盖生产线配电室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42" w:hRule="atLeast"/>
          <w:jc w:val="center"/>
        </w:trPr>
        <w:tc>
          <w:tcPr>
            <w:tcW w:w="1159" w:type="dxa"/>
            <w:vAlign w:val="center"/>
          </w:tcPr>
          <w:p>
            <w:pPr>
              <w:snapToGrid w:val="0"/>
              <w:jc w:val="center"/>
              <w:rPr>
                <w:rFonts w:ascii="宋体" w:hAnsi="Arial"/>
                <w:position w:val="-28"/>
              </w:rPr>
            </w:pPr>
            <w:r>
              <w:rPr>
                <w:rFonts w:hint="eastAsia" w:ascii="宋体" w:hAnsi="Arial"/>
                <w:position w:val="-28"/>
              </w:rPr>
              <w:t>10</w:t>
            </w:r>
          </w:p>
        </w:tc>
        <w:tc>
          <w:tcPr>
            <w:tcW w:w="2394" w:type="dxa"/>
            <w:vAlign w:val="center"/>
          </w:tcPr>
          <w:p>
            <w:pPr>
              <w:snapToGrid w:val="0"/>
              <w:jc w:val="center"/>
              <w:rPr>
                <w:rFonts w:ascii="宋体" w:hAnsi="Arial"/>
                <w:position w:val="-28"/>
              </w:rPr>
            </w:pPr>
            <w:r>
              <w:rPr>
                <w:rFonts w:hint="eastAsia" w:ascii="宋体" w:hAnsi="Arial"/>
                <w:position w:val="-28"/>
              </w:rPr>
              <w:t>手提干粉灭火器</w:t>
            </w:r>
          </w:p>
        </w:tc>
        <w:tc>
          <w:tcPr>
            <w:tcW w:w="1737" w:type="dxa"/>
            <w:vAlign w:val="center"/>
          </w:tcPr>
          <w:p>
            <w:pPr>
              <w:snapToGrid w:val="0"/>
              <w:jc w:val="center"/>
              <w:rPr>
                <w:rFonts w:ascii="宋体" w:hAnsi="Arial"/>
                <w:position w:val="-28"/>
              </w:rPr>
            </w:pPr>
            <w:r>
              <w:rPr>
                <w:rFonts w:hint="eastAsia" w:ascii="宋体" w:hAnsi="Arial"/>
                <w:position w:val="-28"/>
              </w:rPr>
              <w:t>MF/ABC5</w:t>
            </w:r>
          </w:p>
        </w:tc>
        <w:tc>
          <w:tcPr>
            <w:tcW w:w="1362" w:type="dxa"/>
            <w:tcMar>
              <w:left w:w="28" w:type="dxa"/>
              <w:right w:w="28" w:type="dxa"/>
            </w:tcMar>
            <w:vAlign w:val="center"/>
          </w:tcPr>
          <w:p>
            <w:pPr>
              <w:snapToGrid w:val="0"/>
              <w:jc w:val="center"/>
              <w:rPr>
                <w:rFonts w:ascii="宋体" w:hAnsi="Arial"/>
                <w:position w:val="-28"/>
              </w:rPr>
            </w:pPr>
            <w:r>
              <w:rPr>
                <w:rFonts w:hint="eastAsia" w:ascii="宋体" w:hAnsi="Arial"/>
                <w:position w:val="-28"/>
              </w:rPr>
              <w:t>2</w:t>
            </w:r>
          </w:p>
        </w:tc>
        <w:tc>
          <w:tcPr>
            <w:tcW w:w="1287" w:type="dxa"/>
            <w:vAlign w:val="center"/>
          </w:tcPr>
          <w:p>
            <w:pPr>
              <w:snapToGrid w:val="0"/>
              <w:jc w:val="center"/>
              <w:rPr>
                <w:rFonts w:ascii="宋体" w:hAnsi="Arial"/>
                <w:position w:val="-28"/>
              </w:rPr>
            </w:pPr>
            <w:r>
              <w:rPr>
                <w:rFonts w:hint="eastAsia" w:ascii="宋体" w:hAnsi="Arial"/>
                <w:position w:val="-28"/>
              </w:rPr>
              <w:t>具</w:t>
            </w:r>
          </w:p>
        </w:tc>
        <w:tc>
          <w:tcPr>
            <w:tcW w:w="1617" w:type="dxa"/>
            <w:vAlign w:val="center"/>
          </w:tcPr>
          <w:p>
            <w:pPr>
              <w:snapToGrid w:val="0"/>
              <w:jc w:val="center"/>
              <w:rPr>
                <w:rFonts w:ascii="宋体" w:hAnsi="Arial"/>
                <w:position w:val="-28"/>
              </w:rPr>
            </w:pPr>
            <w:r>
              <w:rPr>
                <w:rFonts w:hint="eastAsia" w:ascii="宋体" w:hAnsi="Arial"/>
                <w:position w:val="-28"/>
              </w:rPr>
              <w:t>切削液处理系统车间</w:t>
            </w:r>
          </w:p>
        </w:tc>
      </w:tr>
      <w:bookmarkEnd w:id="235"/>
    </w:tbl>
    <w:p>
      <w:pPr>
        <w:pStyle w:val="5"/>
        <w:keepNext w:val="0"/>
        <w:keepLines w:val="0"/>
        <w:snapToGrid w:val="0"/>
        <w:spacing w:before="0" w:after="0" w:line="360" w:lineRule="auto"/>
        <w:jc w:val="left"/>
        <w:rPr>
          <w:rFonts w:ascii="宋体" w:hAnsi="宋体" w:cs="宋体"/>
          <w:sz w:val="28"/>
          <w:szCs w:val="28"/>
        </w:rPr>
      </w:pPr>
      <w:bookmarkStart w:id="236" w:name="_Toc12625"/>
      <w:r>
        <w:rPr>
          <w:rFonts w:hint="eastAsia" w:ascii="宋体" w:hAnsi="宋体" w:cs="宋体"/>
          <w:sz w:val="28"/>
          <w:szCs w:val="28"/>
        </w:rPr>
        <w:t>2.9.5防雷、防静电接地</w:t>
      </w:r>
      <w:bookmarkEnd w:id="236"/>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sz w:val="28"/>
          <w:szCs w:val="28"/>
        </w:rPr>
        <w:t>根据本项目建筑性质及预计年雷击次数确定，第三联合厂房为第二类防雷建筑物。钢结构厂房利用金属屋面板作接闪器，结构钢柱作防雷引下线；混凝土框</w:t>
      </w:r>
      <w:r>
        <w:rPr>
          <w:rFonts w:hint="eastAsia" w:ascii="宋体" w:hAnsi="宋体"/>
          <w:color w:val="000000" w:themeColor="text1"/>
          <w:sz w:val="28"/>
          <w:szCs w:val="28"/>
          <w14:textFill>
            <w14:solidFill>
              <w14:schemeClr w14:val="tx1"/>
            </w14:solidFill>
          </w14:textFill>
        </w:rPr>
        <w:t>架利用屋面和女儿墙顶敷设的接闪网格作接闪器，防雷引下线利用结构柱内主筋。202</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年6月2</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日吉林省宇泰安全技术服务有限公司对</w:t>
      </w:r>
      <w:r>
        <w:rPr>
          <w:rFonts w:hint="eastAsia" w:ascii="宋体" w:hAnsi="宋体"/>
          <w:color w:val="000000" w:themeColor="text1"/>
          <w:sz w:val="28"/>
          <w:szCs w:val="28"/>
          <w:lang w:val="en-US" w:eastAsia="zh-CN"/>
          <w14:textFill>
            <w14:solidFill>
              <w14:schemeClr w14:val="tx1"/>
            </w14:solidFill>
          </w14:textFill>
        </w:rPr>
        <w:t>云内动力厂区和油库</w:t>
      </w:r>
      <w:r>
        <w:rPr>
          <w:rFonts w:hint="eastAsia" w:ascii="宋体" w:hAnsi="宋体"/>
          <w:color w:val="000000" w:themeColor="text1"/>
          <w:sz w:val="28"/>
          <w:szCs w:val="28"/>
          <w14:textFill>
            <w14:solidFill>
              <w14:schemeClr w14:val="tx1"/>
            </w14:solidFill>
          </w14:textFill>
        </w:rPr>
        <w:t>防雷、接地设备进行了检测，并出具《防雷（静电）装置检测报告》，</w:t>
      </w:r>
      <w:r>
        <w:rPr>
          <w:rFonts w:hint="eastAsia" w:ascii="宋体" w:hAnsi="宋体"/>
          <w:color w:val="000000" w:themeColor="text1"/>
          <w:sz w:val="28"/>
          <w:szCs w:val="28"/>
          <w:lang w:val="en-US" w:eastAsia="zh-CN"/>
          <w14:textFill>
            <w14:solidFill>
              <w14:schemeClr w14:val="tx1"/>
            </w14:solidFill>
          </w14:textFill>
        </w:rPr>
        <w:t>厂区</w:t>
      </w:r>
      <w:r>
        <w:rPr>
          <w:rFonts w:hint="eastAsia" w:ascii="宋体" w:hAnsi="宋体"/>
          <w:color w:val="000000" w:themeColor="text1"/>
          <w:sz w:val="28"/>
          <w:szCs w:val="28"/>
          <w14:textFill>
            <w14:solidFill>
              <w14:schemeClr w14:val="tx1"/>
            </w14:solidFill>
          </w14:textFill>
        </w:rPr>
        <w:t>有效期至202</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年6月23日，结论为被检测设备设施符合国家相关防雷规范标准要求。</w:t>
      </w:r>
    </w:p>
    <w:p>
      <w:pPr>
        <w:pStyle w:val="5"/>
        <w:keepNext w:val="0"/>
        <w:keepLines w:val="0"/>
        <w:snapToGrid w:val="0"/>
        <w:spacing w:before="0" w:after="0" w:line="360" w:lineRule="auto"/>
        <w:jc w:val="left"/>
        <w:rPr>
          <w:rFonts w:ascii="宋体" w:hAnsi="宋体" w:cs="宋体"/>
          <w:color w:val="000000" w:themeColor="text1"/>
          <w:sz w:val="28"/>
          <w:szCs w:val="28"/>
          <w14:textFill>
            <w14:solidFill>
              <w14:schemeClr w14:val="tx1"/>
            </w14:solidFill>
          </w14:textFill>
        </w:rPr>
      </w:pPr>
      <w:bookmarkStart w:id="237" w:name="_Toc17697"/>
      <w:r>
        <w:rPr>
          <w:rFonts w:hint="eastAsia" w:ascii="宋体" w:hAnsi="宋体" w:cs="宋体"/>
          <w:color w:val="000000" w:themeColor="text1"/>
          <w:sz w:val="28"/>
          <w:szCs w:val="28"/>
          <w14:textFill>
            <w14:solidFill>
              <w14:schemeClr w14:val="tx1"/>
            </w14:solidFill>
          </w14:textFill>
        </w:rPr>
        <w:t>2.9.6供气</w:t>
      </w:r>
      <w:bookmarkEnd w:id="237"/>
    </w:p>
    <w:p>
      <w:pPr>
        <w:adjustRightInd w:val="0"/>
        <w:snapToGrid w:val="0"/>
        <w:spacing w:line="360" w:lineRule="auto"/>
        <w:ind w:firstLine="560" w:firstLineChars="200"/>
        <w:rPr>
          <w:rFonts w:ascii="宋体" w:hAnsi="宋体"/>
          <w:sz w:val="28"/>
          <w:szCs w:val="28"/>
        </w:rPr>
      </w:pPr>
      <w:bookmarkStart w:id="238" w:name="_Toc500634934"/>
      <w:r>
        <w:rPr>
          <w:rFonts w:hint="eastAsia" w:ascii="宋体" w:hAnsi="宋体"/>
          <w:sz w:val="28"/>
          <w:szCs w:val="28"/>
        </w:rPr>
        <w:t>本项目压缩空气站为新建，位于第三联合厂房南侧辅房位置，为丁类站房。</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压缩空气主要用作气动设备驱动的动力源以及工位吹清，用气设备主要包括加工中心、专机、清洗机、试验台、测试台、合装线、输送线、包装机、喷漆线、风动夹具、风动工具、加工设备等。</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第三联合厂房压缩空气小时平均耗量6400Nm³/h，最大耗量12000Nm³/h，计算耗量160Nm³/min，用气压力0.6MPa。</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根据第三联合厂房压缩空气估算耗量，在压缩空气站选用42.5Nm³/min风冷型螺杆式空压机4台，其中一台为变频；53Nm³/min的风冷型冷冻式干燥机4台，站房总装机容量170Nm³/min。</w:t>
      </w:r>
    </w:p>
    <w:p>
      <w:pPr>
        <w:pStyle w:val="5"/>
        <w:keepNext w:val="0"/>
        <w:keepLines w:val="0"/>
        <w:snapToGrid w:val="0"/>
        <w:spacing w:before="0" w:after="0" w:line="360" w:lineRule="auto"/>
        <w:jc w:val="left"/>
        <w:rPr>
          <w:rFonts w:ascii="宋体" w:hAnsi="宋体" w:cs="宋体"/>
          <w:sz w:val="28"/>
          <w:szCs w:val="28"/>
        </w:rPr>
      </w:pPr>
      <w:bookmarkStart w:id="239" w:name="_Toc42679852"/>
      <w:bookmarkStart w:id="240" w:name="_Toc5477384"/>
      <w:bookmarkStart w:id="241" w:name="_Toc14474"/>
      <w:bookmarkStart w:id="242" w:name="_Toc5477014"/>
      <w:bookmarkStart w:id="243" w:name="_Toc58579076"/>
      <w:r>
        <w:rPr>
          <w:rFonts w:hint="eastAsia" w:ascii="宋体" w:hAnsi="宋体" w:cs="宋体"/>
          <w:sz w:val="28"/>
          <w:szCs w:val="28"/>
        </w:rPr>
        <w:t>2.9.7通信</w:t>
      </w:r>
      <w:bookmarkEnd w:id="239"/>
      <w:bookmarkEnd w:id="240"/>
      <w:bookmarkEnd w:id="241"/>
      <w:bookmarkEnd w:id="242"/>
      <w:bookmarkEnd w:id="243"/>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有线电话拟采用城市公众网虚拟总机形式，电话容量全厂约需50门。计算机局域网接入城市互联网系统，其终端数量参照有线电话。</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利用新建第三联合厂房建设，在第三联合厂房主要出入口、周界、厂区主干道、厂房、办公辅房及楼道等部位设置摄像头并接入公司监控系统，使值班人员在监控室内即可监控整个园区的情况，及时对突发事件做出反应。</w:t>
      </w:r>
    </w:p>
    <w:p>
      <w:pPr>
        <w:pStyle w:val="5"/>
        <w:keepNext w:val="0"/>
        <w:keepLines w:val="0"/>
        <w:snapToGrid w:val="0"/>
        <w:spacing w:before="0" w:after="0" w:line="360" w:lineRule="auto"/>
        <w:jc w:val="left"/>
        <w:rPr>
          <w:rFonts w:ascii="宋体" w:hAnsi="宋体" w:cs="宋体"/>
          <w:sz w:val="28"/>
          <w:szCs w:val="28"/>
        </w:rPr>
      </w:pPr>
      <w:bookmarkStart w:id="244" w:name="_Toc58579077"/>
      <w:bookmarkStart w:id="245" w:name="_Toc27504"/>
      <w:r>
        <w:rPr>
          <w:rFonts w:hint="eastAsia" w:ascii="宋体" w:hAnsi="宋体" w:cs="宋体"/>
          <w:sz w:val="28"/>
          <w:szCs w:val="28"/>
        </w:rPr>
        <w:t>2.9.8</w:t>
      </w:r>
      <w:bookmarkEnd w:id="244"/>
      <w:r>
        <w:rPr>
          <w:rFonts w:hint="eastAsia" w:ascii="宋体" w:hAnsi="宋体" w:cs="宋体"/>
          <w:sz w:val="28"/>
          <w:szCs w:val="28"/>
        </w:rPr>
        <w:t>建筑结构</w:t>
      </w:r>
      <w:bookmarkEnd w:id="245"/>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1.建筑</w:t>
      </w:r>
    </w:p>
    <w:p>
      <w:pPr>
        <w:tabs>
          <w:tab w:val="left" w:pos="3315"/>
        </w:tabs>
        <w:jc w:val="center"/>
        <w:rPr>
          <w:rFonts w:ascii="宋体" w:hAnsi="宋体"/>
          <w:b/>
          <w:snapToGrid w:val="0"/>
          <w:sz w:val="24"/>
        </w:rPr>
      </w:pPr>
      <w:r>
        <w:rPr>
          <w:rFonts w:hint="eastAsia" w:ascii="宋体" w:hAnsi="宋体"/>
          <w:b/>
          <w:snapToGrid w:val="0"/>
          <w:sz w:val="24"/>
        </w:rPr>
        <w:t>表2-23</w:t>
      </w:r>
      <w:r>
        <w:rPr>
          <w:rFonts w:ascii="宋体" w:hAnsi="宋体"/>
          <w:b/>
          <w:snapToGrid w:val="0"/>
          <w:sz w:val="24"/>
        </w:rPr>
        <w:t>项目工程建（构）筑物一览表</w:t>
      </w:r>
    </w:p>
    <w:tbl>
      <w:tblPr>
        <w:tblStyle w:val="52"/>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05"/>
        <w:gridCol w:w="1464"/>
        <w:gridCol w:w="1112"/>
        <w:gridCol w:w="1263"/>
        <w:gridCol w:w="1042"/>
        <w:gridCol w:w="1019"/>
        <w:gridCol w:w="1054"/>
        <w:gridCol w:w="1019"/>
        <w:gridCol w:w="1075"/>
        <w:gridCol w:w="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23" w:hRule="atLeast"/>
          <w:jc w:val="center"/>
        </w:trPr>
        <w:tc>
          <w:tcPr>
            <w:tcW w:w="405"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序号</w:t>
            </w:r>
          </w:p>
        </w:tc>
        <w:tc>
          <w:tcPr>
            <w:tcW w:w="1464"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子项名称</w:t>
            </w:r>
          </w:p>
        </w:tc>
        <w:tc>
          <w:tcPr>
            <w:tcW w:w="1112"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使用功能</w:t>
            </w:r>
          </w:p>
        </w:tc>
        <w:tc>
          <w:tcPr>
            <w:tcW w:w="1263"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建筑基地面积（m</w:t>
            </w:r>
            <w:r>
              <w:rPr>
                <w:rFonts w:hint="eastAsia" w:ascii="宋体" w:hAnsi="宋体" w:cs="宋体"/>
                <w:b/>
                <w:bCs/>
                <w:kern w:val="0"/>
                <w:szCs w:val="21"/>
                <w:vertAlign w:val="superscript"/>
              </w:rPr>
              <w:t>2</w:t>
            </w:r>
            <w:r>
              <w:rPr>
                <w:rFonts w:hint="eastAsia" w:ascii="宋体" w:hAnsi="宋体" w:cs="宋体"/>
                <w:b/>
                <w:bCs/>
                <w:kern w:val="0"/>
                <w:szCs w:val="21"/>
              </w:rPr>
              <w:t>）</w:t>
            </w:r>
          </w:p>
        </w:tc>
        <w:tc>
          <w:tcPr>
            <w:tcW w:w="1042"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建筑面积</w:t>
            </w:r>
          </w:p>
          <w:p>
            <w:pPr>
              <w:snapToGrid w:val="0"/>
              <w:jc w:val="center"/>
              <w:rPr>
                <w:rFonts w:ascii="宋体" w:hAnsi="宋体" w:cs="宋体"/>
                <w:b/>
                <w:bCs/>
                <w:kern w:val="0"/>
                <w:szCs w:val="21"/>
              </w:rPr>
            </w:pPr>
            <w:r>
              <w:rPr>
                <w:rFonts w:hint="eastAsia" w:ascii="宋体" w:hAnsi="宋体" w:cs="宋体"/>
                <w:b/>
                <w:bCs/>
                <w:kern w:val="0"/>
                <w:szCs w:val="21"/>
              </w:rPr>
              <w:t>（m</w:t>
            </w:r>
            <w:r>
              <w:rPr>
                <w:rFonts w:hint="eastAsia" w:ascii="宋体" w:hAnsi="宋体" w:cs="宋体"/>
                <w:b/>
                <w:bCs/>
                <w:kern w:val="0"/>
                <w:szCs w:val="21"/>
                <w:vertAlign w:val="superscript"/>
              </w:rPr>
              <w:t>2</w:t>
            </w:r>
            <w:r>
              <w:rPr>
                <w:rFonts w:hint="eastAsia" w:ascii="宋体" w:hAnsi="宋体" w:cs="宋体"/>
                <w:b/>
                <w:bCs/>
                <w:kern w:val="0"/>
                <w:szCs w:val="21"/>
              </w:rPr>
              <w:t>）</w:t>
            </w:r>
          </w:p>
        </w:tc>
        <w:tc>
          <w:tcPr>
            <w:tcW w:w="1019"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层数</w:t>
            </w:r>
          </w:p>
          <w:p>
            <w:pPr>
              <w:snapToGrid w:val="0"/>
              <w:ind w:left="-149" w:leftChars="-71" w:right="-82" w:rightChars="-39"/>
              <w:jc w:val="center"/>
              <w:rPr>
                <w:rFonts w:ascii="宋体" w:hAnsi="宋体" w:cs="宋体"/>
                <w:b/>
                <w:bCs/>
                <w:kern w:val="0"/>
                <w:szCs w:val="21"/>
              </w:rPr>
            </w:pPr>
            <w:r>
              <w:rPr>
                <w:rFonts w:hint="eastAsia" w:ascii="宋体" w:hAnsi="宋体" w:cs="宋体"/>
                <w:b/>
                <w:bCs/>
                <w:kern w:val="0"/>
                <w:szCs w:val="21"/>
              </w:rPr>
              <w:t>（-*F/*F）</w:t>
            </w:r>
          </w:p>
        </w:tc>
        <w:tc>
          <w:tcPr>
            <w:tcW w:w="1054"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建筑高度</w:t>
            </w:r>
          </w:p>
          <w:p>
            <w:pPr>
              <w:snapToGrid w:val="0"/>
              <w:jc w:val="center"/>
              <w:rPr>
                <w:rFonts w:ascii="宋体" w:hAnsi="宋体" w:cs="宋体"/>
                <w:b/>
                <w:bCs/>
                <w:kern w:val="0"/>
                <w:szCs w:val="21"/>
              </w:rPr>
            </w:pPr>
            <w:r>
              <w:rPr>
                <w:rFonts w:hint="eastAsia" w:ascii="宋体" w:hAnsi="宋体" w:cs="宋体"/>
                <w:b/>
                <w:bCs/>
                <w:kern w:val="0"/>
                <w:szCs w:val="21"/>
              </w:rPr>
              <w:t>（m）</w:t>
            </w:r>
          </w:p>
        </w:tc>
        <w:tc>
          <w:tcPr>
            <w:tcW w:w="1019"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防火分类</w:t>
            </w:r>
          </w:p>
        </w:tc>
        <w:tc>
          <w:tcPr>
            <w:tcW w:w="1075"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耐火等级</w:t>
            </w:r>
          </w:p>
        </w:tc>
        <w:tc>
          <w:tcPr>
            <w:tcW w:w="443"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02" w:hRule="atLeast"/>
          <w:jc w:val="center"/>
        </w:trPr>
        <w:tc>
          <w:tcPr>
            <w:tcW w:w="405"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1</w:t>
            </w:r>
          </w:p>
        </w:tc>
        <w:tc>
          <w:tcPr>
            <w:tcW w:w="1464" w:type="dxa"/>
            <w:tcBorders>
              <w:top w:val="single" w:color="auto" w:sz="4" w:space="0"/>
              <w:left w:val="nil"/>
              <w:bottom w:val="single" w:color="auto" w:sz="4" w:space="0"/>
              <w:right w:val="single" w:color="auto" w:sz="4" w:space="0"/>
            </w:tcBorders>
            <w:noWrap/>
            <w:vAlign w:val="center"/>
          </w:tcPr>
          <w:p>
            <w:pPr>
              <w:snapToGrid w:val="0"/>
              <w:jc w:val="left"/>
              <w:rPr>
                <w:rFonts w:ascii="宋体" w:hAnsi="宋体" w:cs="宋体"/>
                <w:kern w:val="0"/>
                <w:szCs w:val="21"/>
              </w:rPr>
            </w:pPr>
            <w:r>
              <w:rPr>
                <w:rFonts w:hint="eastAsia" w:ascii="宋体" w:hAnsi="宋体" w:cs="宋体"/>
                <w:kern w:val="0"/>
                <w:szCs w:val="21"/>
              </w:rPr>
              <w:t>第三联合厂房</w:t>
            </w:r>
          </w:p>
        </w:tc>
        <w:tc>
          <w:tcPr>
            <w:tcW w:w="1112"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生产厂房</w:t>
            </w:r>
          </w:p>
        </w:tc>
        <w:tc>
          <w:tcPr>
            <w:tcW w:w="1263"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56474‬</w:t>
            </w:r>
          </w:p>
        </w:tc>
        <w:tc>
          <w:tcPr>
            <w:tcW w:w="1042"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54072</w:t>
            </w:r>
          </w:p>
        </w:tc>
        <w:tc>
          <w:tcPr>
            <w:tcW w:w="1019"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1</w:t>
            </w:r>
          </w:p>
        </w:tc>
        <w:tc>
          <w:tcPr>
            <w:tcW w:w="1054"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 xml:space="preserve">13.80 </w:t>
            </w:r>
          </w:p>
        </w:tc>
        <w:tc>
          <w:tcPr>
            <w:tcW w:w="1019"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丁类</w:t>
            </w:r>
          </w:p>
        </w:tc>
        <w:tc>
          <w:tcPr>
            <w:tcW w:w="1075"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r>
              <w:rPr>
                <w:rFonts w:hint="eastAsia" w:ascii="宋体" w:hAnsi="宋体" w:cs="宋体"/>
                <w:kern w:val="0"/>
                <w:szCs w:val="21"/>
              </w:rPr>
              <w:t>二级</w:t>
            </w:r>
          </w:p>
        </w:tc>
        <w:tc>
          <w:tcPr>
            <w:tcW w:w="443" w:type="dxa"/>
            <w:tcBorders>
              <w:top w:val="single" w:color="auto" w:sz="4" w:space="0"/>
              <w:left w:val="nil"/>
              <w:bottom w:val="single" w:color="auto" w:sz="4" w:space="0"/>
              <w:right w:val="single" w:color="auto" w:sz="4" w:space="0"/>
            </w:tcBorders>
            <w:noWrap/>
            <w:vAlign w:val="center"/>
          </w:tcPr>
          <w:p>
            <w:pPr>
              <w:snapToGrid w:val="0"/>
              <w:jc w:val="center"/>
              <w:rPr>
                <w:rFonts w:ascii="宋体" w:hAnsi="宋体" w:cs="宋体"/>
                <w:kern w:val="0"/>
                <w:szCs w:val="21"/>
              </w:rPr>
            </w:pPr>
          </w:p>
        </w:tc>
      </w:tr>
    </w:tbl>
    <w:p>
      <w:pPr>
        <w:adjustRightInd w:val="0"/>
        <w:snapToGrid w:val="0"/>
        <w:spacing w:line="360" w:lineRule="auto"/>
        <w:ind w:firstLine="560" w:firstLineChars="200"/>
        <w:rPr>
          <w:rFonts w:ascii="宋体" w:hAnsi="宋体"/>
          <w:sz w:val="28"/>
          <w:szCs w:val="28"/>
        </w:rPr>
      </w:pPr>
      <w:r>
        <w:rPr>
          <w:rFonts w:hint="eastAsia" w:ascii="宋体" w:hAnsi="宋体"/>
          <w:sz w:val="28"/>
          <w:szCs w:val="28"/>
        </w:rPr>
        <w:t>第三联合厂房厂房长305.16m，宽200m，厂房中部设有天井，局部夹层，总建筑面积56474m</w:t>
      </w:r>
      <w:r>
        <w:rPr>
          <w:rFonts w:hint="eastAsia" w:ascii="宋体" w:hAnsi="宋体"/>
          <w:sz w:val="28"/>
          <w:szCs w:val="28"/>
          <w:vertAlign w:val="superscript"/>
        </w:rPr>
        <w:t>2</w:t>
      </w:r>
      <w:r>
        <w:rPr>
          <w:rFonts w:hint="eastAsia" w:ascii="宋体" w:hAnsi="宋体"/>
          <w:sz w:val="28"/>
          <w:szCs w:val="28"/>
        </w:rPr>
        <w:t>。包括加工、装配、涂装等。</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钢结构厂房拟采用结构构造为：轻钢部分外墙1.2m以下为200厚空心砖墙，轻钢结构部分主要构件为：柱、梁采用焊接H型钢；檩条：采用C型钢及Z型钢辊压檩条；屋面板：外板采用0.65mm彩色镀铝锌板，内板为0.45mm厚彩色镀锌板，中间夹100mm厚玻璃棉保温层，墙面板：外板采用0.55mm彩色镀铝锌板，内板为0.45mm厚彩色镀锌板，中间夹50mm厚玻璃棉保温层。地坪：厂房地坪采用混凝土面层地坪。窗采用铝合金窗，大门选用彩钢门；屋面设采光带和顺坡通风器，屋面排水采用内天沟形式。</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2.结构</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现场勘查情况，建设场地地势较为平坦，地层分布稳定，属可进行建设的一般场地；场地内除分布有一定厚度的人工填土，场地内及周边未见滑坡、危岩、崩塌、泥石流、采空区等影响工程建设的不良地质作用及地质灾害发育。场址是稳定的，适宜建筑。</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本项目建筑结构安全等级二级，建筑结构设计使用年限50年，建筑抗震设防烈度为8度，设计基本地震加速度值为0.2g。</w:t>
      </w:r>
    </w:p>
    <w:p>
      <w:pPr>
        <w:pStyle w:val="5"/>
        <w:keepNext w:val="0"/>
        <w:keepLines w:val="0"/>
        <w:snapToGrid w:val="0"/>
        <w:spacing w:before="0" w:after="0" w:line="360" w:lineRule="auto"/>
        <w:jc w:val="left"/>
        <w:rPr>
          <w:rFonts w:ascii="宋体" w:hAnsi="宋体" w:cs="宋体"/>
          <w:sz w:val="28"/>
          <w:szCs w:val="28"/>
        </w:rPr>
      </w:pPr>
      <w:bookmarkStart w:id="246" w:name="_Toc7756"/>
      <w:bookmarkStart w:id="247" w:name="_Toc58579078"/>
      <w:r>
        <w:rPr>
          <w:rFonts w:hint="eastAsia" w:ascii="宋体" w:hAnsi="宋体" w:cs="宋体"/>
          <w:sz w:val="28"/>
          <w:szCs w:val="28"/>
        </w:rPr>
        <w:t>2.9.9通风除尘</w:t>
      </w:r>
      <w:bookmarkEnd w:id="246"/>
      <w:bookmarkEnd w:id="247"/>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1.厂房采用顺坡通风器自然通风换气，通过开启外窗自然进风。设计换气次数2次/h。</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2.卫生间及地上无窗房间设置机械排风系统，采用管道式换气扇排除室内废气，通过门窗自然进风。</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3.油料间（丙类）等工艺需求排风房间设置机械排风系统，采用壁式轴流风机排出室内废气，通过可门窗自然进风。</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sz w:val="28"/>
          <w:szCs w:val="28"/>
        </w:rPr>
        <w:t>4.变配电室（无气体灭火）设置机械排风系统，采用壁式轴流风机排出室内</w:t>
      </w:r>
      <w:r>
        <w:rPr>
          <w:rFonts w:hint="eastAsia" w:ascii="宋体" w:hAnsi="宋体"/>
          <w:color w:val="000000" w:themeColor="text1"/>
          <w:sz w:val="28"/>
          <w:szCs w:val="28"/>
          <w14:textFill>
            <w14:solidFill>
              <w14:schemeClr w14:val="tx1"/>
            </w14:solidFill>
          </w14:textFill>
        </w:rPr>
        <w:t>废气，通过可门窗自然进风。</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5.补漆室采用先进高效（除漆雾效率98%）的水旋式补漆室。上部送室外新鲜空调风，底部含漆雾空气抽出经活性炭吸、脱附燃烧处理达标后高空排放。</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6.喷漆室喷涂废气经“水旋+漆雾毡”处理后与烘干废气一起收集后，经1套活性炭吸附装置处理后，由1个15m高排气筒排放。</w:t>
      </w:r>
    </w:p>
    <w:p>
      <w:pPr>
        <w:adjustRightInd w:val="0"/>
        <w:snapToGrid w:val="0"/>
        <w:spacing w:line="360" w:lineRule="auto"/>
        <w:ind w:firstLine="560" w:firstLineChars="200"/>
        <w:rPr>
          <w:rFonts w:ascii="宋体" w:hAnsi="宋体"/>
          <w:sz w:val="28"/>
          <w:szCs w:val="28"/>
        </w:rPr>
      </w:pPr>
      <w:r>
        <w:rPr>
          <w:rFonts w:hint="eastAsia" w:ascii="宋体" w:hAnsi="宋体"/>
          <w:color w:val="000000" w:themeColor="text1"/>
          <w:sz w:val="28"/>
          <w:szCs w:val="28"/>
          <w14:textFill>
            <w14:solidFill>
              <w14:schemeClr w14:val="tx1"/>
            </w14:solidFill>
          </w14:textFill>
        </w:rPr>
        <w:t>7.储漆间、辅料间设置机械排风，风机采用防爆轴流风机，房间上、下设置，平时及事故时开启，与室内数值型防爆可燃气体检测报警仪联锁</w:t>
      </w:r>
      <w:r>
        <w:rPr>
          <w:rFonts w:hint="eastAsia" w:ascii="宋体" w:hAnsi="宋体"/>
          <w:sz w:val="28"/>
          <w:szCs w:val="28"/>
        </w:rPr>
        <w:t>。</w:t>
      </w:r>
    </w:p>
    <w:bookmarkEnd w:id="238"/>
    <w:p>
      <w:pPr>
        <w:pStyle w:val="5"/>
        <w:keepNext w:val="0"/>
        <w:keepLines w:val="0"/>
        <w:snapToGrid w:val="0"/>
        <w:spacing w:before="0" w:after="0" w:line="360" w:lineRule="auto"/>
        <w:jc w:val="left"/>
        <w:rPr>
          <w:rFonts w:ascii="宋体" w:hAnsi="宋体" w:cs="宋体"/>
          <w:sz w:val="28"/>
          <w:szCs w:val="28"/>
        </w:rPr>
      </w:pPr>
      <w:bookmarkStart w:id="248" w:name="_Toc500634935"/>
      <w:bookmarkStart w:id="249" w:name="_Toc2616"/>
      <w:r>
        <w:rPr>
          <w:rFonts w:hint="eastAsia" w:ascii="宋体" w:hAnsi="宋体" w:cs="宋体"/>
          <w:sz w:val="28"/>
          <w:szCs w:val="28"/>
        </w:rPr>
        <w:t>2.9.10其它公用工程</w:t>
      </w:r>
      <w:bookmarkEnd w:id="248"/>
      <w:bookmarkEnd w:id="249"/>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本项目检维修工作主要部分由公司自有维修力量承担，必要时借助外部社会专业队伍。公司正常生产所需的分析化验工作由公司质量检测部门负责。</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办公及生活福利设施如办公室、食堂、倒班宿舍均利用昆明云内动力原有设施。</w:t>
      </w:r>
    </w:p>
    <w:p>
      <w:pPr>
        <w:pStyle w:val="4"/>
        <w:keepNext w:val="0"/>
        <w:keepLines w:val="0"/>
        <w:snapToGrid w:val="0"/>
        <w:spacing w:before="0" w:after="0" w:line="360" w:lineRule="auto"/>
        <w:jc w:val="left"/>
        <w:rPr>
          <w:rFonts w:ascii="宋体" w:hAnsi="宋体" w:cs="宋体"/>
          <w:snapToGrid/>
          <w:kern w:val="2"/>
        </w:rPr>
      </w:pPr>
      <w:bookmarkStart w:id="250" w:name="_Toc17253"/>
      <w:r>
        <w:rPr>
          <w:rFonts w:hint="eastAsia" w:ascii="宋体" w:hAnsi="宋体" w:cs="宋体"/>
          <w:snapToGrid/>
          <w:kern w:val="2"/>
        </w:rPr>
        <w:t>2.10</w:t>
      </w:r>
      <w:r>
        <w:rPr>
          <w:rFonts w:hint="eastAsia" w:ascii="宋体" w:hAnsi="宋体" w:cs="宋体"/>
          <w:snapToGrid/>
          <w:kern w:val="2"/>
          <w:lang w:val="en-US" w:eastAsia="zh-CN"/>
        </w:rPr>
        <w:t xml:space="preserve"> </w:t>
      </w:r>
      <w:r>
        <w:rPr>
          <w:rFonts w:hint="eastAsia" w:ascii="宋体" w:hAnsi="宋体" w:cs="宋体"/>
          <w:snapToGrid/>
          <w:kern w:val="2"/>
        </w:rPr>
        <w:t>主要安全设施</w:t>
      </w:r>
      <w:bookmarkEnd w:id="231"/>
      <w:bookmarkEnd w:id="250"/>
    </w:p>
    <w:p>
      <w:pPr>
        <w:pStyle w:val="16"/>
        <w:jc w:val="center"/>
        <w:rPr>
          <w:rFonts w:ascii="宋体" w:hAnsi="宋体" w:eastAsia="宋体" w:cs="宋体"/>
          <w:sz w:val="24"/>
          <w:szCs w:val="24"/>
        </w:rPr>
      </w:pPr>
      <w:r>
        <w:rPr>
          <w:rFonts w:hint="eastAsia" w:ascii="宋体" w:hAnsi="宋体" w:eastAsia="宋体" w:cs="宋体"/>
          <w:sz w:val="24"/>
          <w:szCs w:val="24"/>
        </w:rPr>
        <w:t>表 2-24 主要安全设施一览表</w:t>
      </w:r>
    </w:p>
    <w:tbl>
      <w:tblPr>
        <w:tblStyle w:val="5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557"/>
        <w:gridCol w:w="3110"/>
        <w:gridCol w:w="2879"/>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691" w:type="dxa"/>
            <w:noWrap/>
            <w:vAlign w:val="center"/>
          </w:tcPr>
          <w:p>
            <w:pPr>
              <w:pStyle w:val="19"/>
              <w:spacing w:line="240" w:lineRule="auto"/>
              <w:jc w:val="center"/>
              <w:rPr>
                <w:rFonts w:ascii="Calibri" w:hAnsi="Calibri"/>
                <w:b/>
                <w:bCs/>
              </w:rPr>
            </w:pPr>
            <w:r>
              <w:rPr>
                <w:rFonts w:hint="eastAsia" w:ascii="Calibri" w:hAnsi="Calibri"/>
                <w:b/>
                <w:bCs/>
              </w:rPr>
              <w:t>序号</w:t>
            </w:r>
          </w:p>
        </w:tc>
        <w:tc>
          <w:tcPr>
            <w:tcW w:w="1557" w:type="dxa"/>
            <w:noWrap/>
            <w:vAlign w:val="center"/>
          </w:tcPr>
          <w:p>
            <w:pPr>
              <w:pStyle w:val="19"/>
              <w:spacing w:line="240" w:lineRule="auto"/>
              <w:jc w:val="center"/>
              <w:rPr>
                <w:rFonts w:ascii="Calibri" w:hAnsi="Calibri"/>
                <w:b/>
                <w:bCs/>
              </w:rPr>
            </w:pPr>
            <w:r>
              <w:rPr>
                <w:rFonts w:hint="eastAsia" w:ascii="Calibri" w:hAnsi="Calibri"/>
                <w:b/>
                <w:bCs/>
              </w:rPr>
              <w:t>安全设施名称</w:t>
            </w:r>
          </w:p>
        </w:tc>
        <w:tc>
          <w:tcPr>
            <w:tcW w:w="3110" w:type="dxa"/>
            <w:noWrap/>
            <w:vAlign w:val="center"/>
          </w:tcPr>
          <w:p>
            <w:pPr>
              <w:pStyle w:val="19"/>
              <w:spacing w:line="240" w:lineRule="auto"/>
              <w:jc w:val="center"/>
              <w:rPr>
                <w:rFonts w:ascii="Calibri" w:hAnsi="Calibri"/>
                <w:b/>
                <w:bCs/>
              </w:rPr>
            </w:pPr>
            <w:r>
              <w:rPr>
                <w:rFonts w:hint="eastAsia" w:ascii="Calibri" w:hAnsi="Calibri"/>
                <w:b/>
                <w:bCs/>
              </w:rPr>
              <w:t>装置/设施名称</w:t>
            </w:r>
          </w:p>
        </w:tc>
        <w:tc>
          <w:tcPr>
            <w:tcW w:w="2879" w:type="dxa"/>
            <w:noWrap/>
            <w:vAlign w:val="center"/>
          </w:tcPr>
          <w:p>
            <w:pPr>
              <w:pStyle w:val="19"/>
              <w:spacing w:line="240" w:lineRule="auto"/>
              <w:jc w:val="center"/>
              <w:rPr>
                <w:rFonts w:ascii="Calibri" w:hAnsi="Calibri"/>
                <w:b/>
                <w:bCs/>
              </w:rPr>
            </w:pPr>
            <w:r>
              <w:rPr>
                <w:rFonts w:hint="eastAsia" w:ascii="Calibri" w:hAnsi="Calibri"/>
                <w:b/>
                <w:bCs/>
              </w:rPr>
              <w:t>安全设施名称</w:t>
            </w:r>
          </w:p>
        </w:tc>
        <w:tc>
          <w:tcPr>
            <w:tcW w:w="781" w:type="dxa"/>
            <w:noWrap/>
            <w:vAlign w:val="center"/>
          </w:tcPr>
          <w:p>
            <w:pPr>
              <w:pStyle w:val="19"/>
              <w:spacing w:line="240" w:lineRule="auto"/>
              <w:jc w:val="center"/>
              <w:rPr>
                <w:rFonts w:ascii="Calibri" w:hAnsi="Calibri"/>
                <w:b/>
                <w:bCs/>
              </w:rPr>
            </w:pPr>
            <w:r>
              <w:rPr>
                <w:rFonts w:hint="eastAsia" w:ascii="Calibri" w:hAnsi="Calibri"/>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restart"/>
            <w:noWrap/>
            <w:vAlign w:val="center"/>
          </w:tcPr>
          <w:p>
            <w:pPr>
              <w:pStyle w:val="19"/>
              <w:spacing w:line="240" w:lineRule="auto"/>
              <w:jc w:val="center"/>
              <w:rPr>
                <w:rFonts w:ascii="宋体" w:hAnsi="宋体" w:cs="宋体"/>
              </w:rPr>
            </w:pPr>
            <w:r>
              <w:rPr>
                <w:rFonts w:hint="eastAsia" w:ascii="Calibri" w:hAnsi="Calibri"/>
              </w:rPr>
              <w:t>预防事故设施</w:t>
            </w: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机加工区-缸体加工线</w:t>
            </w:r>
          </w:p>
        </w:tc>
        <w:tc>
          <w:tcPr>
            <w:tcW w:w="2879" w:type="dxa"/>
            <w:noWrap/>
            <w:vAlign w:val="center"/>
          </w:tcPr>
          <w:p>
            <w:pPr>
              <w:pStyle w:val="19"/>
              <w:spacing w:line="240" w:lineRule="auto"/>
              <w:jc w:val="center"/>
              <w:rPr>
                <w:rFonts w:ascii="宋体" w:hAnsi="宋体" w:cs="宋体"/>
              </w:rPr>
            </w:pPr>
            <w:r>
              <w:rPr>
                <w:rFonts w:hint="eastAsia" w:ascii="宋体" w:hAnsi="宋体" w:cs="宋体"/>
              </w:rPr>
              <w:t>静电接地</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安全警示标志</w:t>
            </w:r>
          </w:p>
        </w:tc>
        <w:tc>
          <w:tcPr>
            <w:tcW w:w="781" w:type="dxa"/>
            <w:noWrap/>
            <w:vAlign w:val="center"/>
          </w:tcPr>
          <w:p>
            <w:pPr>
              <w:pStyle w:val="19"/>
              <w:spacing w:line="240" w:lineRule="auto"/>
              <w:jc w:val="center"/>
              <w:rPr>
                <w:rFonts w:ascii="宋体" w:hAnsi="宋体" w:cs="宋体"/>
              </w:rPr>
            </w:pPr>
          </w:p>
        </w:tc>
      </w:tr>
      <w:tr>
        <w:tblPrEx>
          <w:tblCellMar>
            <w:top w:w="0" w:type="dxa"/>
            <w:left w:w="108" w:type="dxa"/>
            <w:bottom w:w="0" w:type="dxa"/>
            <w:right w:w="108" w:type="dxa"/>
          </w:tblCellMar>
        </w:tblPrEx>
        <w:trPr>
          <w:trHeight w:val="98"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安全围栏</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安全光栅</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警示灯</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防绊倒措施</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挡板</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防护罩</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机加工区-缸盖加工线</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静电接地</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安全警示标志</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安全围栏</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安全光栅</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警示灯</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防绊倒措施</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挡板</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防护罩</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三坐标间</w:t>
            </w:r>
          </w:p>
        </w:tc>
        <w:tc>
          <w:tcPr>
            <w:tcW w:w="2879" w:type="dxa"/>
            <w:noWrap/>
            <w:vAlign w:val="center"/>
          </w:tcPr>
          <w:p>
            <w:pPr>
              <w:pStyle w:val="19"/>
              <w:spacing w:line="240" w:lineRule="auto"/>
              <w:jc w:val="center"/>
              <w:rPr>
                <w:rFonts w:ascii="宋体" w:hAnsi="宋体" w:cs="宋体"/>
              </w:rPr>
            </w:pPr>
            <w:r>
              <w:rPr>
                <w:rFonts w:hint="eastAsia" w:ascii="宋体" w:hAnsi="宋体" w:cs="宋体"/>
              </w:rPr>
              <w:t>终端止挡器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行程限位</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重量限制器（起重机）</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安全警示标志</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油料间</w:t>
            </w:r>
          </w:p>
        </w:tc>
        <w:tc>
          <w:tcPr>
            <w:tcW w:w="2879" w:type="dxa"/>
            <w:noWrap/>
            <w:vAlign w:val="center"/>
          </w:tcPr>
          <w:p>
            <w:pPr>
              <w:pStyle w:val="19"/>
              <w:spacing w:line="240" w:lineRule="auto"/>
              <w:jc w:val="center"/>
              <w:rPr>
                <w:rFonts w:ascii="宋体" w:hAnsi="宋体" w:cs="宋体"/>
              </w:rPr>
            </w:pPr>
            <w:r>
              <w:rPr>
                <w:rFonts w:hint="eastAsia" w:ascii="宋体" w:hAnsi="宋体" w:cs="宋体"/>
              </w:rPr>
              <w:t>可燃气体探测器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声光报警器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防爆风机联锁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防爆照明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静电消除器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试验台架</w:t>
            </w:r>
          </w:p>
        </w:tc>
        <w:tc>
          <w:tcPr>
            <w:tcW w:w="2879" w:type="dxa"/>
            <w:noWrap/>
            <w:vAlign w:val="center"/>
          </w:tcPr>
          <w:p>
            <w:pPr>
              <w:pStyle w:val="19"/>
              <w:spacing w:line="240" w:lineRule="auto"/>
              <w:jc w:val="center"/>
              <w:rPr>
                <w:rFonts w:ascii="宋体" w:hAnsi="宋体" w:cs="宋体"/>
              </w:rPr>
            </w:pPr>
            <w:r>
              <w:rPr>
                <w:rFonts w:hint="eastAsia" w:ascii="宋体" w:hAnsi="宋体" w:cs="宋体"/>
              </w:rPr>
              <w:t>声光报警</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警铃</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防护罩</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防护网</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围栏</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防爆电器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风机联锁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可燃气体探测器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辅料间</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可燃气体探测器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声光报警器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防爆风机联锁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防爆照明</w:t>
            </w:r>
          </w:p>
        </w:tc>
        <w:tc>
          <w:tcPr>
            <w:tcW w:w="781" w:type="dxa"/>
            <w:noWrap/>
            <w:vAlign w:val="center"/>
          </w:tcPr>
          <w:p>
            <w:pPr>
              <w:pStyle w:val="19"/>
              <w:spacing w:line="240" w:lineRule="auto"/>
              <w:jc w:val="center"/>
              <w:rPr>
                <w:rFonts w:ascii="宋体" w:hAnsi="宋体" w:cs="宋体"/>
              </w:rPr>
            </w:pPr>
          </w:p>
        </w:tc>
      </w:tr>
      <w:tr>
        <w:tblPrEx>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静电消除器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调漆间、油漆间</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可燃气体探测器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声光报警器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防爆风机联锁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防爆照明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静电消除器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noWrap/>
            <w:vAlign w:val="center"/>
          </w:tcPr>
          <w:p>
            <w:pPr>
              <w:pStyle w:val="19"/>
              <w:spacing w:line="240" w:lineRule="auto"/>
              <w:jc w:val="center"/>
              <w:rPr>
                <w:rFonts w:ascii="宋体" w:hAnsi="宋体" w:cs="宋体"/>
              </w:rPr>
            </w:pPr>
            <w:r>
              <w:rPr>
                <w:rFonts w:hint="eastAsia" w:ascii="宋体" w:hAnsi="宋体" w:cs="宋体"/>
              </w:rPr>
              <w:t>循环水池</w:t>
            </w:r>
          </w:p>
        </w:tc>
        <w:tc>
          <w:tcPr>
            <w:tcW w:w="2879" w:type="dxa"/>
            <w:noWrap/>
            <w:vAlign w:val="center"/>
          </w:tcPr>
          <w:p>
            <w:pPr>
              <w:pStyle w:val="19"/>
              <w:spacing w:line="240" w:lineRule="auto"/>
              <w:jc w:val="center"/>
              <w:rPr>
                <w:rFonts w:ascii="宋体" w:hAnsi="宋体" w:cs="宋体"/>
              </w:rPr>
            </w:pPr>
            <w:r>
              <w:rPr>
                <w:rFonts w:hint="eastAsia" w:ascii="宋体" w:hAnsi="宋体" w:cs="宋体"/>
              </w:rPr>
              <w:t>护栏</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空压站</w:t>
            </w:r>
          </w:p>
        </w:tc>
        <w:tc>
          <w:tcPr>
            <w:tcW w:w="2879" w:type="dxa"/>
            <w:noWrap/>
            <w:vAlign w:val="center"/>
          </w:tcPr>
          <w:p>
            <w:pPr>
              <w:pStyle w:val="19"/>
              <w:spacing w:line="240" w:lineRule="auto"/>
              <w:jc w:val="center"/>
              <w:rPr>
                <w:rFonts w:ascii="宋体" w:hAnsi="宋体" w:cs="宋体"/>
              </w:rPr>
            </w:pPr>
            <w:r>
              <w:rPr>
                <w:rFonts w:hint="eastAsia" w:ascii="宋体" w:hAnsi="宋体" w:cs="宋体"/>
              </w:rPr>
              <w:t>终端止挡器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行程限位</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重量限制器（起重机）</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安全警示标志</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成品库</w:t>
            </w: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安全警示标志</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视频监控</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终端止挡器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行程限位</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重量限制器（起重机）</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涂装线</w:t>
            </w:r>
          </w:p>
        </w:tc>
        <w:tc>
          <w:tcPr>
            <w:tcW w:w="2879" w:type="dxa"/>
            <w:noWrap/>
            <w:vAlign w:val="center"/>
          </w:tcPr>
          <w:p>
            <w:pPr>
              <w:pStyle w:val="19"/>
              <w:spacing w:line="240" w:lineRule="auto"/>
              <w:jc w:val="center"/>
              <w:rPr>
                <w:rFonts w:ascii="宋体" w:hAnsi="宋体" w:cs="宋体"/>
              </w:rPr>
            </w:pPr>
            <w:r>
              <w:rPr>
                <w:rFonts w:hint="eastAsia" w:ascii="宋体" w:hAnsi="宋体" w:cs="宋体"/>
              </w:rPr>
              <w:t>尾气处理系统</w:t>
            </w:r>
          </w:p>
        </w:tc>
        <w:tc>
          <w:tcPr>
            <w:tcW w:w="781" w:type="dxa"/>
            <w:noWrap/>
            <w:vAlign w:val="center"/>
          </w:tcPr>
          <w:p>
            <w:pPr>
              <w:pStyle w:val="19"/>
              <w:spacing w:line="240" w:lineRule="auto"/>
              <w:jc w:val="center"/>
              <w:rPr>
                <w:rFonts w:ascii="宋体" w:hAnsi="宋体" w:cs="宋体"/>
              </w:rPr>
            </w:pPr>
          </w:p>
        </w:tc>
      </w:tr>
      <w:tr>
        <w:tblPrEx>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新风系统（上抽风下送风）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可燃气体探测器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防爆电器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防爆开关</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静电消除器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装配线</w:t>
            </w:r>
          </w:p>
        </w:tc>
        <w:tc>
          <w:tcPr>
            <w:tcW w:w="2879" w:type="dxa"/>
            <w:noWrap/>
            <w:vAlign w:val="center"/>
          </w:tcPr>
          <w:p>
            <w:pPr>
              <w:pStyle w:val="19"/>
              <w:spacing w:line="240" w:lineRule="auto"/>
              <w:jc w:val="center"/>
              <w:rPr>
                <w:rFonts w:ascii="宋体" w:hAnsi="宋体" w:cs="宋体"/>
              </w:rPr>
            </w:pPr>
            <w:r>
              <w:rPr>
                <w:rFonts w:hint="eastAsia" w:ascii="宋体" w:hAnsi="宋体" w:cs="宋体"/>
              </w:rPr>
              <w:t>防护罩</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安全护栏</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防护网</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等电位跨接</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联锁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警示灯</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安全光栅</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终端止挡器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安全警示标志</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1号变配电室</w:t>
            </w:r>
          </w:p>
        </w:tc>
        <w:tc>
          <w:tcPr>
            <w:tcW w:w="2879" w:type="dxa"/>
            <w:noWrap/>
            <w:vAlign w:val="center"/>
          </w:tcPr>
          <w:p>
            <w:pPr>
              <w:pStyle w:val="19"/>
              <w:spacing w:line="240" w:lineRule="auto"/>
              <w:jc w:val="center"/>
              <w:rPr>
                <w:rFonts w:ascii="宋体" w:hAnsi="宋体" w:cs="宋体"/>
              </w:rPr>
            </w:pPr>
            <w:r>
              <w:rPr>
                <w:rFonts w:hint="eastAsia" w:ascii="宋体" w:hAnsi="宋体" w:cs="宋体"/>
              </w:rPr>
              <w:t>熔断器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电气监控</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静电接地</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防鼠板</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感烟探测器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安全警示标识</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短路、过载、漏电保护电器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691" w:type="dxa"/>
            <w:noWrap/>
            <w:vAlign w:val="center"/>
          </w:tcPr>
          <w:p>
            <w:pPr>
              <w:pStyle w:val="19"/>
              <w:numPr>
                <w:ilvl w:val="0"/>
                <w:numId w:val="9"/>
              </w:numPr>
              <w:tabs>
                <w:tab w:val="left" w:pos="420"/>
              </w:tabs>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风机</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restart"/>
            <w:noWrap/>
            <w:vAlign w:val="center"/>
          </w:tcPr>
          <w:p>
            <w:pPr>
              <w:pStyle w:val="19"/>
              <w:spacing w:line="240" w:lineRule="auto"/>
              <w:jc w:val="center"/>
              <w:rPr>
                <w:rFonts w:ascii="宋体" w:hAnsi="宋体" w:cs="宋体"/>
              </w:rPr>
            </w:pPr>
            <w:r>
              <w:rPr>
                <w:rFonts w:hint="eastAsia" w:ascii="Calibri" w:hAnsi="Calibri"/>
              </w:rPr>
              <w:t>控制事故设施</w:t>
            </w: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机加工区-缸体加工线</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急停按钮</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安全联锁</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安全阀</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压力表</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机加工区-缸盖加工线</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急停按钮</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安全联锁</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压力表</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安全阀</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noWrap/>
            <w:vAlign w:val="center"/>
          </w:tcPr>
          <w:p>
            <w:pPr>
              <w:pStyle w:val="19"/>
              <w:spacing w:line="240" w:lineRule="auto"/>
              <w:jc w:val="center"/>
              <w:rPr>
                <w:rFonts w:ascii="宋体" w:hAnsi="宋体" w:cs="宋体"/>
                <w:kern w:val="2"/>
                <w:sz w:val="21"/>
              </w:rPr>
            </w:pPr>
            <w:r>
              <w:rPr>
                <w:rFonts w:hint="eastAsia" w:ascii="宋体" w:hAnsi="宋体" w:cs="宋体"/>
              </w:rPr>
              <w:t>试验台架</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燃油紧急切断阀</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空压站</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安全阀（空压机）</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安全阀</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压力表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noWrap/>
            <w:vAlign w:val="center"/>
          </w:tcPr>
          <w:p>
            <w:pPr>
              <w:pStyle w:val="19"/>
              <w:spacing w:line="240" w:lineRule="auto"/>
              <w:jc w:val="center"/>
              <w:rPr>
                <w:rFonts w:ascii="宋体" w:hAnsi="宋体" w:cs="宋体"/>
                <w:kern w:val="2"/>
                <w:sz w:val="21"/>
              </w:rPr>
            </w:pPr>
            <w:r>
              <w:rPr>
                <w:rFonts w:hint="eastAsia" w:ascii="宋体" w:hAnsi="宋体" w:cs="宋体"/>
              </w:rPr>
              <w:t>涂装线</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急停开关</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noWrap/>
            <w:vAlign w:val="center"/>
          </w:tcPr>
          <w:p>
            <w:pPr>
              <w:pStyle w:val="19"/>
              <w:spacing w:line="240" w:lineRule="auto"/>
              <w:jc w:val="center"/>
              <w:rPr>
                <w:rFonts w:ascii="宋体" w:hAnsi="宋体" w:cs="宋体"/>
                <w:kern w:val="2"/>
                <w:sz w:val="21"/>
              </w:rPr>
            </w:pPr>
            <w:r>
              <w:rPr>
                <w:rFonts w:hint="eastAsia" w:ascii="宋体" w:hAnsi="宋体" w:cs="宋体"/>
              </w:rPr>
              <w:t>装配线</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急停开关</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Calibri" w:hAnsi="Calibri"/>
              </w:rPr>
            </w:pPr>
          </w:p>
        </w:tc>
        <w:tc>
          <w:tcPr>
            <w:tcW w:w="3110" w:type="dxa"/>
            <w:noWrap/>
            <w:vAlign w:val="center"/>
          </w:tcPr>
          <w:p>
            <w:pPr>
              <w:pStyle w:val="19"/>
              <w:spacing w:line="240" w:lineRule="auto"/>
              <w:jc w:val="center"/>
              <w:rPr>
                <w:rFonts w:ascii="宋体" w:hAnsi="宋体" w:cs="宋体"/>
                <w:kern w:val="2"/>
                <w:sz w:val="21"/>
              </w:rPr>
            </w:pPr>
            <w:r>
              <w:rPr>
                <w:rFonts w:hint="eastAsia" w:ascii="宋体" w:hAnsi="宋体" w:cs="宋体"/>
              </w:rPr>
              <w:t>1号变配电室</w:t>
            </w:r>
          </w:p>
        </w:tc>
        <w:tc>
          <w:tcPr>
            <w:tcW w:w="2879" w:type="dxa"/>
            <w:noWrap/>
            <w:vAlign w:val="center"/>
          </w:tcPr>
          <w:p>
            <w:pPr>
              <w:pStyle w:val="19"/>
              <w:spacing w:line="240" w:lineRule="auto"/>
              <w:jc w:val="center"/>
              <w:rPr>
                <w:rFonts w:ascii="宋体" w:hAnsi="宋体" w:cs="宋体"/>
              </w:rPr>
            </w:pPr>
            <w:r>
              <w:rPr>
                <w:rFonts w:hint="eastAsia" w:ascii="宋体" w:hAnsi="宋体" w:cs="宋体"/>
              </w:rPr>
              <w:t>电源隔离开关</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restart"/>
            <w:noWrap/>
            <w:vAlign w:val="center"/>
          </w:tcPr>
          <w:p>
            <w:pPr>
              <w:pStyle w:val="19"/>
              <w:spacing w:line="240" w:lineRule="auto"/>
              <w:jc w:val="center"/>
              <w:rPr>
                <w:rFonts w:ascii="宋体" w:hAnsi="宋体" w:cs="宋体"/>
              </w:rPr>
            </w:pPr>
            <w:r>
              <w:rPr>
                <w:rFonts w:hint="eastAsia" w:ascii="宋体" w:hAnsi="宋体" w:cs="宋体"/>
                <w:sz w:val="21"/>
                <w:szCs w:val="21"/>
              </w:rPr>
              <w:t>减少与消除事故影响设施</w:t>
            </w: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机加工区-缸体加工线</w:t>
            </w:r>
          </w:p>
        </w:tc>
        <w:tc>
          <w:tcPr>
            <w:tcW w:w="2879" w:type="dxa"/>
            <w:noWrap/>
            <w:vAlign w:val="center"/>
          </w:tcPr>
          <w:p>
            <w:pPr>
              <w:pStyle w:val="19"/>
              <w:spacing w:line="240" w:lineRule="auto"/>
              <w:jc w:val="center"/>
              <w:rPr>
                <w:rFonts w:ascii="宋体" w:hAnsi="宋体" w:cs="宋体"/>
              </w:rPr>
            </w:pPr>
            <w:r>
              <w:rPr>
                <w:rFonts w:hint="eastAsia" w:ascii="宋体" w:hAnsi="宋体" w:cs="宋体"/>
              </w:rPr>
              <w:t>劳动防护用品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消火栓</w:t>
            </w:r>
          </w:p>
        </w:tc>
        <w:tc>
          <w:tcPr>
            <w:tcW w:w="781" w:type="dxa"/>
            <w:noWrap/>
            <w:vAlign w:val="center"/>
          </w:tcPr>
          <w:p>
            <w:pPr>
              <w:pStyle w:val="19"/>
              <w:spacing w:line="240" w:lineRule="auto"/>
              <w:jc w:val="center"/>
              <w:rPr>
                <w:rFonts w:ascii="宋体" w:hAnsi="宋体" w:cs="宋体"/>
              </w:rPr>
            </w:pPr>
          </w:p>
        </w:tc>
      </w:tr>
      <w:tr>
        <w:tblPrEx>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应急照明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机加工-缸盖加工线</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劳动防护用品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消火栓</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应急照明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rPr>
            </w:pPr>
            <w:r>
              <w:rPr>
                <w:rFonts w:hint="eastAsia" w:ascii="宋体" w:hAnsi="宋体" w:cs="宋体"/>
              </w:rPr>
              <w:t>三坐标间</w:t>
            </w:r>
          </w:p>
        </w:tc>
        <w:tc>
          <w:tcPr>
            <w:tcW w:w="2879" w:type="dxa"/>
            <w:noWrap/>
            <w:vAlign w:val="center"/>
          </w:tcPr>
          <w:p>
            <w:pPr>
              <w:pStyle w:val="19"/>
              <w:spacing w:line="240" w:lineRule="auto"/>
              <w:jc w:val="center"/>
              <w:rPr>
                <w:rFonts w:ascii="宋体" w:hAnsi="宋体" w:cs="宋体"/>
              </w:rPr>
            </w:pPr>
            <w:r>
              <w:rPr>
                <w:rFonts w:hint="eastAsia" w:ascii="宋体" w:hAnsi="宋体" w:cs="宋体"/>
              </w:rPr>
              <w:t>应急照明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移动灭火器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油料间</w:t>
            </w:r>
          </w:p>
        </w:tc>
        <w:tc>
          <w:tcPr>
            <w:tcW w:w="2879" w:type="dxa"/>
            <w:noWrap/>
            <w:vAlign w:val="center"/>
          </w:tcPr>
          <w:p>
            <w:pPr>
              <w:pStyle w:val="19"/>
              <w:spacing w:line="240" w:lineRule="auto"/>
              <w:jc w:val="center"/>
              <w:rPr>
                <w:rFonts w:ascii="宋体" w:hAnsi="宋体" w:cs="宋体"/>
              </w:rPr>
            </w:pPr>
            <w:r>
              <w:rPr>
                <w:rFonts w:hint="eastAsia" w:ascii="宋体" w:hAnsi="宋体" w:cs="宋体"/>
              </w:rPr>
              <w:t>应急照明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甲级防火门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消防沙桶</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辅料间</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应急照明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甲级防火门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消防沙桶</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调漆间、油漆间</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应急照明</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甲级防火门</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消防沙桶</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空压站</w:t>
            </w:r>
          </w:p>
        </w:tc>
        <w:tc>
          <w:tcPr>
            <w:tcW w:w="2879" w:type="dxa"/>
            <w:noWrap/>
            <w:vAlign w:val="center"/>
          </w:tcPr>
          <w:p>
            <w:pPr>
              <w:pStyle w:val="19"/>
              <w:spacing w:line="240" w:lineRule="auto"/>
              <w:jc w:val="center"/>
              <w:rPr>
                <w:rFonts w:ascii="宋体" w:hAnsi="宋体" w:cs="宋体"/>
              </w:rPr>
            </w:pPr>
            <w:r>
              <w:rPr>
                <w:rFonts w:hint="eastAsia" w:ascii="Calibri" w:hAnsi="Calibri"/>
              </w:rPr>
              <w:t>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Calibri" w:hAnsi="Calibri"/>
              </w:rPr>
            </w:pPr>
            <w:r>
              <w:rPr>
                <w:rFonts w:hint="eastAsia" w:ascii="Calibri" w:hAnsi="Calibri"/>
              </w:rPr>
              <w:t>应急照明</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Calibri" w:hAnsi="Calibri"/>
              </w:rPr>
            </w:pPr>
            <w:r>
              <w:rPr>
                <w:rFonts w:hint="eastAsia" w:ascii="Calibri" w:hAnsi="Calibri"/>
              </w:rPr>
              <w:t>消火栓</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涂装线</w:t>
            </w: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防火材料</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劳动防护用品</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消火栓</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kern w:val="2"/>
                <w:sz w:val="21"/>
              </w:rPr>
            </w:pPr>
            <w:r>
              <w:rPr>
                <w:rFonts w:hint="eastAsia" w:ascii="宋体" w:hAnsi="宋体" w:cs="宋体"/>
              </w:rPr>
              <w:t>应急救援物资</w:t>
            </w:r>
          </w:p>
        </w:tc>
        <w:tc>
          <w:tcPr>
            <w:tcW w:w="781" w:type="dxa"/>
            <w:noWrap/>
            <w:vAlign w:val="center"/>
          </w:tcPr>
          <w:p>
            <w:pPr>
              <w:pStyle w:val="19"/>
              <w:spacing w:line="240" w:lineRule="auto"/>
              <w:jc w:val="center"/>
              <w:rPr>
                <w:rFonts w:ascii="宋体" w:hAnsi="宋体" w:cs="宋体"/>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装配线</w:t>
            </w:r>
          </w:p>
        </w:tc>
        <w:tc>
          <w:tcPr>
            <w:tcW w:w="2879" w:type="dxa"/>
            <w:noWrap/>
            <w:vAlign w:val="center"/>
          </w:tcPr>
          <w:p>
            <w:pPr>
              <w:pStyle w:val="19"/>
              <w:spacing w:line="240" w:lineRule="auto"/>
              <w:jc w:val="center"/>
              <w:rPr>
                <w:rFonts w:ascii="宋体" w:hAnsi="宋体" w:cs="宋体"/>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劳动防护用品</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restart"/>
            <w:noWrap/>
            <w:vAlign w:val="center"/>
          </w:tcPr>
          <w:p>
            <w:pPr>
              <w:pStyle w:val="19"/>
              <w:spacing w:line="240" w:lineRule="auto"/>
              <w:jc w:val="center"/>
              <w:rPr>
                <w:rFonts w:ascii="宋体" w:hAnsi="宋体" w:cs="宋体"/>
                <w:kern w:val="2"/>
                <w:sz w:val="21"/>
              </w:rPr>
            </w:pPr>
            <w:r>
              <w:rPr>
                <w:rFonts w:hint="eastAsia" w:ascii="宋体" w:hAnsi="宋体" w:cs="宋体"/>
              </w:rPr>
              <w:t>1号变配电室</w:t>
            </w:r>
          </w:p>
        </w:tc>
        <w:tc>
          <w:tcPr>
            <w:tcW w:w="2879" w:type="dxa"/>
            <w:noWrap/>
            <w:vAlign w:val="center"/>
          </w:tcPr>
          <w:p>
            <w:pPr>
              <w:pStyle w:val="19"/>
              <w:spacing w:line="240" w:lineRule="auto"/>
              <w:jc w:val="center"/>
              <w:rPr>
                <w:rFonts w:ascii="宋体" w:hAnsi="宋体" w:cs="宋体"/>
              </w:rPr>
            </w:pPr>
            <w:r>
              <w:rPr>
                <w:rFonts w:hint="eastAsia" w:ascii="宋体" w:hAnsi="宋体" w:cs="宋体"/>
              </w:rPr>
              <w:t>灭火器</w:t>
            </w:r>
          </w:p>
        </w:tc>
        <w:tc>
          <w:tcPr>
            <w:tcW w:w="781" w:type="dxa"/>
            <w:noWrap/>
            <w:vAlign w:val="center"/>
          </w:tcPr>
          <w:p>
            <w:pPr>
              <w:pStyle w:val="19"/>
              <w:spacing w:line="24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blHeader/>
          <w:jc w:val="center"/>
        </w:trPr>
        <w:tc>
          <w:tcPr>
            <w:tcW w:w="691" w:type="dxa"/>
            <w:noWrap/>
            <w:vAlign w:val="center"/>
          </w:tcPr>
          <w:p>
            <w:pPr>
              <w:pStyle w:val="19"/>
              <w:numPr>
                <w:ilvl w:val="0"/>
                <w:numId w:val="9"/>
              </w:numPr>
              <w:spacing w:line="240" w:lineRule="auto"/>
              <w:jc w:val="center"/>
              <w:rPr>
                <w:rFonts w:ascii="宋体" w:hAnsi="宋体" w:cs="宋体"/>
              </w:rPr>
            </w:pPr>
          </w:p>
        </w:tc>
        <w:tc>
          <w:tcPr>
            <w:tcW w:w="1557" w:type="dxa"/>
            <w:vMerge w:val="continue"/>
            <w:noWrap/>
            <w:vAlign w:val="center"/>
          </w:tcPr>
          <w:p>
            <w:pPr>
              <w:pStyle w:val="19"/>
              <w:spacing w:line="240" w:lineRule="auto"/>
              <w:jc w:val="center"/>
              <w:rPr>
                <w:rFonts w:ascii="宋体" w:hAnsi="宋体" w:cs="宋体"/>
                <w:sz w:val="21"/>
                <w:szCs w:val="21"/>
              </w:rPr>
            </w:pPr>
          </w:p>
        </w:tc>
        <w:tc>
          <w:tcPr>
            <w:tcW w:w="3110" w:type="dxa"/>
            <w:vMerge w:val="continue"/>
            <w:noWrap/>
            <w:vAlign w:val="center"/>
          </w:tcPr>
          <w:p>
            <w:pPr>
              <w:pStyle w:val="19"/>
              <w:spacing w:line="240" w:lineRule="auto"/>
              <w:jc w:val="center"/>
              <w:rPr>
                <w:rFonts w:ascii="宋体" w:hAnsi="宋体" w:cs="宋体"/>
                <w:kern w:val="2"/>
                <w:sz w:val="21"/>
              </w:rPr>
            </w:pPr>
          </w:p>
        </w:tc>
        <w:tc>
          <w:tcPr>
            <w:tcW w:w="2879" w:type="dxa"/>
            <w:noWrap/>
            <w:vAlign w:val="center"/>
          </w:tcPr>
          <w:p>
            <w:pPr>
              <w:pStyle w:val="19"/>
              <w:spacing w:line="240" w:lineRule="auto"/>
              <w:jc w:val="center"/>
              <w:rPr>
                <w:rFonts w:ascii="宋体" w:hAnsi="宋体" w:cs="宋体"/>
              </w:rPr>
            </w:pPr>
            <w:r>
              <w:rPr>
                <w:rFonts w:hint="eastAsia" w:ascii="宋体" w:hAnsi="宋体" w:cs="宋体"/>
              </w:rPr>
              <w:t>漏电保护器</w:t>
            </w:r>
          </w:p>
        </w:tc>
        <w:tc>
          <w:tcPr>
            <w:tcW w:w="781" w:type="dxa"/>
            <w:noWrap/>
            <w:vAlign w:val="center"/>
          </w:tcPr>
          <w:p>
            <w:pPr>
              <w:pStyle w:val="19"/>
              <w:spacing w:line="240" w:lineRule="auto"/>
              <w:jc w:val="center"/>
              <w:rPr>
                <w:rFonts w:ascii="宋体" w:hAnsi="宋体" w:cs="宋体"/>
              </w:rPr>
            </w:pPr>
          </w:p>
        </w:tc>
      </w:tr>
    </w:tbl>
    <w:p/>
    <w:p>
      <w:pPr>
        <w:pStyle w:val="4"/>
        <w:keepNext w:val="0"/>
        <w:keepLines w:val="0"/>
        <w:snapToGrid w:val="0"/>
        <w:spacing w:before="0" w:after="0" w:line="360" w:lineRule="auto"/>
        <w:jc w:val="left"/>
        <w:rPr>
          <w:rFonts w:ascii="宋体" w:hAnsi="宋体" w:cs="宋体"/>
          <w:snapToGrid/>
          <w:kern w:val="2"/>
        </w:rPr>
      </w:pPr>
      <w:bookmarkStart w:id="251" w:name="_Toc14404"/>
      <w:bookmarkStart w:id="252" w:name="_Toc16829"/>
      <w:r>
        <w:rPr>
          <w:rFonts w:hint="eastAsia" w:ascii="宋体" w:hAnsi="宋体" w:cs="宋体"/>
          <w:snapToGrid/>
          <w:kern w:val="2"/>
        </w:rPr>
        <w:t>2.1</w:t>
      </w:r>
      <w:bookmarkEnd w:id="251"/>
      <w:r>
        <w:rPr>
          <w:rFonts w:hint="eastAsia" w:ascii="宋体" w:hAnsi="宋体" w:cs="宋体"/>
          <w:snapToGrid/>
          <w:kern w:val="2"/>
        </w:rPr>
        <w:t>1</w:t>
      </w:r>
      <w:r>
        <w:rPr>
          <w:rFonts w:hint="eastAsia" w:ascii="宋体" w:hAnsi="宋体" w:cs="宋体"/>
          <w:snapToGrid/>
          <w:kern w:val="2"/>
          <w:lang w:val="en-US" w:eastAsia="zh-CN"/>
        </w:rPr>
        <w:t xml:space="preserve"> </w:t>
      </w:r>
      <w:r>
        <w:rPr>
          <w:rFonts w:hint="eastAsia" w:ascii="宋体" w:hAnsi="宋体" w:cs="宋体"/>
          <w:snapToGrid/>
          <w:kern w:val="2"/>
        </w:rPr>
        <w:t>安全生产管理及劳动定员</w:t>
      </w:r>
      <w:bookmarkEnd w:id="252"/>
    </w:p>
    <w:p>
      <w:pPr>
        <w:pStyle w:val="5"/>
        <w:keepNext w:val="0"/>
        <w:keepLines w:val="0"/>
        <w:snapToGrid w:val="0"/>
        <w:spacing w:before="0" w:after="0" w:line="360" w:lineRule="auto"/>
        <w:jc w:val="left"/>
        <w:rPr>
          <w:rFonts w:ascii="宋体" w:hAnsi="宋体" w:cs="宋体"/>
          <w:sz w:val="28"/>
          <w:szCs w:val="28"/>
        </w:rPr>
      </w:pPr>
      <w:bookmarkStart w:id="253" w:name="_Toc23974"/>
      <w:bookmarkStart w:id="254" w:name="_Toc9994"/>
      <w:r>
        <w:rPr>
          <w:rFonts w:hint="eastAsia" w:ascii="宋体" w:hAnsi="宋体" w:cs="宋体"/>
          <w:sz w:val="28"/>
          <w:szCs w:val="28"/>
        </w:rPr>
        <w:t>2.11.1 安全管理机构</w:t>
      </w:r>
      <w:bookmarkEnd w:id="253"/>
      <w:bookmarkEnd w:id="254"/>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公司目前有独立完整的组织机构，能确保部门及员工之间的协调配合，完成企业生产经营目标，组织机构按现有模式运行。公司董事长为安全生产第一责任人，公司成立了安全生产委员会，董事长任主任，总经理、主管生产安全的副总任常务副主任，工会主席、副总经理、财务总监任副主任，公司各车间、部门领导为成员。设置环境安全管理部并任命了专、兼职安全员，环境安全管理部负责日常安全管理。</w:t>
      </w:r>
    </w:p>
    <w:p>
      <w:pPr>
        <w:pStyle w:val="51"/>
        <w:ind w:firstLine="0" w:firstLineChars="0"/>
        <w:jc w:val="center"/>
        <w:rPr>
          <w:rFonts w:ascii="宋体" w:hAnsi="宋体"/>
          <w:sz w:val="28"/>
          <w:szCs w:val="28"/>
        </w:rPr>
      </w:pPr>
      <w:r>
        <w:drawing>
          <wp:inline distT="0" distB="0" distL="114300" distR="114300">
            <wp:extent cx="6067425" cy="2961005"/>
            <wp:effectExtent l="0" t="0" r="9525" b="10795"/>
            <wp:docPr id="15" name="图片 7"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LENOVO\Desktop\图片1.png图片1"/>
                    <pic:cNvPicPr>
                      <a:picLocks noChangeAspect="1"/>
                    </pic:cNvPicPr>
                  </pic:nvPicPr>
                  <pic:blipFill>
                    <a:blip r:embed="rId16"/>
                    <a:srcRect l="823" t="9753" r="823"/>
                    <a:stretch>
                      <a:fillRect/>
                    </a:stretch>
                  </pic:blipFill>
                  <pic:spPr>
                    <a:xfrm>
                      <a:off x="0" y="0"/>
                      <a:ext cx="6067425" cy="2961005"/>
                    </a:xfrm>
                    <a:prstGeom prst="rect">
                      <a:avLst/>
                    </a:prstGeom>
                    <a:noFill/>
                    <a:ln>
                      <a:noFill/>
                    </a:ln>
                  </pic:spPr>
                </pic:pic>
              </a:graphicData>
            </a:graphic>
          </wp:inline>
        </w:drawing>
      </w:r>
    </w:p>
    <w:p>
      <w:pPr>
        <w:adjustRightInd w:val="0"/>
        <w:snapToGrid w:val="0"/>
        <w:spacing w:line="440" w:lineRule="exact"/>
        <w:ind w:firstLine="480" w:firstLineChars="200"/>
        <w:jc w:val="center"/>
        <w:rPr>
          <w:rFonts w:ascii="宋体" w:hAnsi="宋体"/>
          <w:snapToGrid w:val="0"/>
          <w:kern w:val="0"/>
          <w:sz w:val="24"/>
        </w:rPr>
      </w:pPr>
      <w:r>
        <w:rPr>
          <w:rFonts w:hint="eastAsia" w:ascii="宋体" w:hAnsi="宋体"/>
          <w:snapToGrid w:val="0"/>
          <w:kern w:val="0"/>
          <w:sz w:val="24"/>
        </w:rPr>
        <w:t>图2-3企业安全管理组织架构</w:t>
      </w:r>
    </w:p>
    <w:p>
      <w:pPr>
        <w:pStyle w:val="5"/>
        <w:keepNext w:val="0"/>
        <w:keepLines w:val="0"/>
        <w:snapToGrid w:val="0"/>
        <w:spacing w:before="0" w:after="0" w:line="360" w:lineRule="auto"/>
        <w:jc w:val="left"/>
        <w:rPr>
          <w:rFonts w:ascii="宋体" w:hAnsi="宋体" w:cs="宋体"/>
          <w:sz w:val="28"/>
          <w:szCs w:val="28"/>
        </w:rPr>
      </w:pPr>
      <w:bookmarkStart w:id="255" w:name="_Toc31831"/>
      <w:r>
        <w:rPr>
          <w:rFonts w:hint="eastAsia" w:ascii="宋体" w:hAnsi="宋体" w:cs="宋体"/>
          <w:sz w:val="28"/>
          <w:szCs w:val="28"/>
        </w:rPr>
        <w:t>2.11.2 劳动定员</w:t>
      </w:r>
      <w:bookmarkEnd w:id="255"/>
    </w:p>
    <w:p>
      <w:pPr>
        <w:adjustRightInd w:val="0"/>
        <w:snapToGrid w:val="0"/>
        <w:spacing w:line="360" w:lineRule="auto"/>
        <w:ind w:firstLine="560" w:firstLineChars="200"/>
        <w:rPr>
          <w:rFonts w:hint="default" w:ascii="宋体" w:hAnsi="宋体" w:eastAsia="宋体"/>
          <w:sz w:val="28"/>
          <w:szCs w:val="28"/>
          <w:lang w:val="en-US" w:eastAsia="zh-CN"/>
        </w:rPr>
      </w:pPr>
      <w:r>
        <w:rPr>
          <w:rFonts w:hint="eastAsia" w:ascii="宋体" w:hAnsi="宋体"/>
          <w:sz w:val="28"/>
          <w:szCs w:val="28"/>
        </w:rPr>
        <w:t>劳动定员共计人数211人，成品库和翻包区物流人员10人属于生产管理部编制管理。</w:t>
      </w:r>
      <w:bookmarkStart w:id="256" w:name="_Toc24962"/>
      <w:r>
        <w:rPr>
          <w:rFonts w:hint="eastAsia" w:ascii="宋体" w:hAnsi="宋体"/>
          <w:sz w:val="28"/>
          <w:szCs w:val="28"/>
          <w:lang w:val="en-US" w:eastAsia="zh-CN"/>
        </w:rPr>
        <w:t>公司实行8小时工作制，机加工线缸体件6人/班；缸盖件8人/班；装配线38人/班；喷涂线2人/班；试车2人/班。</w:t>
      </w:r>
    </w:p>
    <w:p>
      <w:pPr>
        <w:pStyle w:val="5"/>
        <w:keepNext w:val="0"/>
        <w:keepLines w:val="0"/>
        <w:snapToGrid w:val="0"/>
        <w:spacing w:before="0" w:after="0" w:line="360" w:lineRule="auto"/>
        <w:jc w:val="left"/>
        <w:rPr>
          <w:rFonts w:ascii="宋体" w:hAnsi="宋体" w:cs="宋体"/>
          <w:sz w:val="28"/>
          <w:szCs w:val="28"/>
        </w:rPr>
      </w:pPr>
      <w:bookmarkStart w:id="257" w:name="_Toc14914"/>
      <w:r>
        <w:rPr>
          <w:rFonts w:hint="eastAsia" w:ascii="宋体" w:hAnsi="宋体" w:cs="宋体"/>
          <w:sz w:val="28"/>
          <w:szCs w:val="28"/>
        </w:rPr>
        <w:t>2.11.3 安全管理制度和安全操作规程</w:t>
      </w:r>
      <w:bookmarkEnd w:id="256"/>
      <w:bookmarkEnd w:id="257"/>
    </w:p>
    <w:p>
      <w:pPr>
        <w:adjustRightInd w:val="0"/>
        <w:snapToGrid w:val="0"/>
        <w:spacing w:line="360" w:lineRule="auto"/>
        <w:ind w:firstLine="560" w:firstLineChars="200"/>
      </w:pPr>
      <w:r>
        <w:rPr>
          <w:rFonts w:hint="eastAsia" w:ascii="宋体" w:hAnsi="宋体"/>
          <w:sz w:val="28"/>
          <w:szCs w:val="28"/>
        </w:rPr>
        <w:t>昆明云内动力股份有限公司十分重视安全管理工作，制定了较完善的各岗位安全职责、安全管理制度和各工序的操作规程。具</w:t>
      </w:r>
      <w:r>
        <w:rPr>
          <w:rFonts w:hint="eastAsia" w:ascii="宋体" w:hAnsi="宋体"/>
          <w:color w:val="000000" w:themeColor="text1"/>
          <w:sz w:val="28"/>
          <w:szCs w:val="28"/>
          <w14:textFill>
            <w14:solidFill>
              <w14:schemeClr w14:val="tx1"/>
            </w14:solidFill>
          </w14:textFill>
        </w:rPr>
        <w:t>体见附件十八。</w:t>
      </w:r>
    </w:p>
    <w:p>
      <w:pPr>
        <w:pStyle w:val="5"/>
        <w:keepNext w:val="0"/>
        <w:keepLines w:val="0"/>
        <w:snapToGrid w:val="0"/>
        <w:spacing w:before="0" w:after="0" w:line="360" w:lineRule="auto"/>
        <w:jc w:val="left"/>
        <w:rPr>
          <w:rFonts w:ascii="宋体" w:hAnsi="宋体" w:cs="宋体"/>
          <w:sz w:val="28"/>
          <w:szCs w:val="28"/>
        </w:rPr>
      </w:pPr>
      <w:bookmarkStart w:id="258" w:name="_Toc10520"/>
      <w:bookmarkStart w:id="259" w:name="_Toc7867"/>
      <w:r>
        <w:rPr>
          <w:rFonts w:hint="eastAsia" w:ascii="宋体" w:hAnsi="宋体" w:cs="宋体"/>
          <w:sz w:val="28"/>
          <w:szCs w:val="28"/>
        </w:rPr>
        <w:t>2.11.4 安全管理人员</w:t>
      </w:r>
      <w:bookmarkEnd w:id="258"/>
      <w:bookmarkEnd w:id="259"/>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公司专职安全员：李和平、安玉东、戴艳华、罗浩、黄长城</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车间专职安全员：杨双德（装配车间）、胡悝（乘柴事业部）、杜龙生（铸工车间）、蒋存伟（汽油机车间）</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部室兼职安全员：</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杨雪娇（昆明技术中心）、梁裕章（营销公司）、余任（科技信息部）、段雅梦（客户服务公司）、吴祺（党群工作）、许楠（公司办公室）、邵瑞坤(财务管理部)、杨浩(人力资源部)、徐波(发展计划部)、任蒙蒙(生产安全部)、赵玉林(质量管理部)、朱鹏飞(审计部)、王元俊(安保后勤部)、雷婷婷(采购部)、李国精(设备动力部)</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集团公司:栗子朋(资产管理部)</w:t>
      </w:r>
    </w:p>
    <w:p>
      <w:pPr>
        <w:pStyle w:val="5"/>
        <w:keepNext w:val="0"/>
        <w:keepLines w:val="0"/>
        <w:snapToGrid w:val="0"/>
        <w:spacing w:before="0" w:after="0" w:line="360" w:lineRule="auto"/>
        <w:jc w:val="left"/>
        <w:rPr>
          <w:rFonts w:ascii="宋体" w:hAnsi="宋体" w:cs="宋体"/>
          <w:sz w:val="28"/>
          <w:szCs w:val="28"/>
        </w:rPr>
      </w:pPr>
      <w:bookmarkStart w:id="260" w:name="_Toc20372"/>
      <w:bookmarkStart w:id="261" w:name="_Toc2886"/>
      <w:r>
        <w:rPr>
          <w:rFonts w:hint="eastAsia" w:ascii="宋体" w:hAnsi="宋体" w:cs="宋体"/>
          <w:sz w:val="28"/>
          <w:szCs w:val="28"/>
        </w:rPr>
        <w:t>2.11.5 应急管理</w:t>
      </w:r>
      <w:bookmarkEnd w:id="260"/>
      <w:bookmarkEnd w:id="261"/>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1.应急预案</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昆明云内动力股份有限公司</w:t>
      </w:r>
      <w:r>
        <w:rPr>
          <w:rFonts w:ascii="宋体" w:hAnsi="宋体"/>
          <w:sz w:val="28"/>
          <w:szCs w:val="28"/>
        </w:rPr>
        <w:t>按照有关规定要求编制了《生产安全事故综合应急预案》、《专项应急预案》和《现场处置方案》，在预案中成立了应急救援</w:t>
      </w:r>
      <w:r>
        <w:rPr>
          <w:rFonts w:hint="eastAsia" w:ascii="宋体" w:hAnsi="宋体"/>
          <w:sz w:val="28"/>
          <w:szCs w:val="28"/>
        </w:rPr>
        <w:t>指挥部</w:t>
      </w:r>
      <w:r>
        <w:rPr>
          <w:rFonts w:ascii="宋体" w:hAnsi="宋体"/>
          <w:sz w:val="28"/>
          <w:szCs w:val="28"/>
        </w:rPr>
        <w:t>，明确了</w:t>
      </w:r>
      <w:r>
        <w:rPr>
          <w:rFonts w:hint="eastAsia" w:ascii="宋体" w:hAnsi="宋体"/>
          <w:sz w:val="28"/>
          <w:szCs w:val="28"/>
        </w:rPr>
        <w:t>指挥部</w:t>
      </w:r>
      <w:r>
        <w:rPr>
          <w:rFonts w:ascii="宋体" w:hAnsi="宋体"/>
          <w:sz w:val="28"/>
          <w:szCs w:val="28"/>
        </w:rPr>
        <w:t>及各</w:t>
      </w:r>
      <w:r>
        <w:rPr>
          <w:rFonts w:hint="eastAsia" w:ascii="宋体" w:hAnsi="宋体"/>
          <w:sz w:val="28"/>
          <w:szCs w:val="28"/>
        </w:rPr>
        <w:t>应急小组</w:t>
      </w:r>
      <w:r>
        <w:rPr>
          <w:rFonts w:ascii="宋体" w:hAnsi="宋体"/>
          <w:sz w:val="28"/>
          <w:szCs w:val="28"/>
        </w:rPr>
        <w:t>的职责、分工，公布了相关的应急电话，制订了应急响应程序及处置措施等，根据单位应急预案演练计划，每年至少组织一次应急预案的演练。有关部门对演练效果进行评价，对现场演练中存在的问题，不能胜任者及时调</w:t>
      </w:r>
      <w:r>
        <w:rPr>
          <w:rFonts w:ascii="宋体" w:hAnsi="宋体"/>
          <w:color w:val="000000" w:themeColor="text1"/>
          <w:sz w:val="28"/>
          <w:szCs w:val="28"/>
          <w14:textFill>
            <w14:solidFill>
              <w14:schemeClr w14:val="tx1"/>
            </w14:solidFill>
          </w14:textFill>
        </w:rPr>
        <w:t>整</w:t>
      </w:r>
      <w:r>
        <w:rPr>
          <w:rFonts w:hint="eastAsia" w:ascii="宋体" w:hAnsi="宋体"/>
          <w:color w:val="000000" w:themeColor="text1"/>
          <w:sz w:val="28"/>
          <w:szCs w:val="28"/>
          <w14:textFill>
            <w14:solidFill>
              <w14:schemeClr w14:val="tx1"/>
            </w14:solidFill>
          </w14:textFill>
        </w:rPr>
        <w:t>。该</w:t>
      </w:r>
      <w:r>
        <w:rPr>
          <w:rFonts w:ascii="宋体" w:hAnsi="宋体"/>
          <w:color w:val="000000" w:themeColor="text1"/>
          <w:sz w:val="28"/>
          <w:szCs w:val="28"/>
          <w14:textFill>
            <w14:solidFill>
              <w14:schemeClr w14:val="tx1"/>
            </w14:solidFill>
          </w14:textFill>
        </w:rPr>
        <w:t>《生产安全事故综合应急预案》</w:t>
      </w:r>
      <w:r>
        <w:rPr>
          <w:rFonts w:hint="eastAsia" w:ascii="宋体" w:hAnsi="宋体"/>
          <w:color w:val="000000" w:themeColor="text1"/>
          <w:sz w:val="28"/>
          <w:szCs w:val="28"/>
          <w14:textFill>
            <w14:solidFill>
              <w14:schemeClr w14:val="tx1"/>
            </w14:solidFill>
          </w14:textFill>
        </w:rPr>
        <w:t>于2021年2月22日经昆明经济开发区城市管理局备案登记。</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2.应急演练</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企业定期组织员工进行应急演练，并建立了相应的演练记录、应急演练评估等。</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3.应急救援物资</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昆明云内动力股份有限公司按照规定在生产车间、作业场所均配备了相应的应急救援物资，厂区仓库管理员对其进行管理，安全科定期对其进行相关检查、维护，以保证其有效性。若发现应急物资出现过期等不能使用的情况，立即向公司相关领导进行申请，及时对其进行更换。</w:t>
      </w:r>
    </w:p>
    <w:p>
      <w:pPr>
        <w:jc w:val="center"/>
        <w:rPr>
          <w:rFonts w:ascii="宋体" w:hAnsi="宋体" w:cs="宋体"/>
          <w:bCs/>
          <w:sz w:val="24"/>
        </w:rPr>
      </w:pPr>
      <w:r>
        <w:rPr>
          <w:rFonts w:hint="eastAsia" w:ascii="宋体" w:hAnsi="宋体" w:cs="宋体"/>
          <w:bCs/>
          <w:sz w:val="24"/>
        </w:rPr>
        <w:t>表2-26第三联合厂房应急救援物资一览表</w:t>
      </w:r>
    </w:p>
    <w:tbl>
      <w:tblPr>
        <w:tblStyle w:val="52"/>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905"/>
        <w:gridCol w:w="759"/>
        <w:gridCol w:w="2187"/>
        <w:gridCol w:w="918"/>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blHeader/>
          <w:jc w:val="center"/>
        </w:trPr>
        <w:tc>
          <w:tcPr>
            <w:tcW w:w="1193" w:type="dxa"/>
            <w:noWrap/>
            <w:tcMar>
              <w:left w:w="28" w:type="dxa"/>
              <w:right w:w="28" w:type="dxa"/>
            </w:tcMar>
            <w:vAlign w:val="center"/>
          </w:tcPr>
          <w:p>
            <w:pPr>
              <w:snapToGrid w:val="0"/>
              <w:jc w:val="center"/>
              <w:rPr>
                <w:rFonts w:ascii="宋体" w:hAnsi="宋体"/>
                <w:b/>
                <w:sz w:val="24"/>
              </w:rPr>
            </w:pPr>
            <w:r>
              <w:rPr>
                <w:rFonts w:hint="eastAsia" w:ascii="宋体" w:hAnsi="宋体"/>
                <w:b/>
                <w:sz w:val="24"/>
              </w:rPr>
              <w:t>序号</w:t>
            </w:r>
          </w:p>
        </w:tc>
        <w:tc>
          <w:tcPr>
            <w:tcW w:w="1905" w:type="dxa"/>
            <w:noWrap/>
            <w:tcMar>
              <w:left w:w="28" w:type="dxa"/>
              <w:right w:w="28" w:type="dxa"/>
            </w:tcMar>
            <w:vAlign w:val="center"/>
          </w:tcPr>
          <w:p>
            <w:pPr>
              <w:snapToGrid w:val="0"/>
              <w:jc w:val="center"/>
              <w:rPr>
                <w:rFonts w:ascii="宋体" w:hAnsi="宋体"/>
                <w:b/>
                <w:sz w:val="24"/>
              </w:rPr>
            </w:pPr>
            <w:r>
              <w:rPr>
                <w:rFonts w:hint="eastAsia" w:ascii="宋体" w:hAnsi="宋体"/>
                <w:b/>
                <w:sz w:val="24"/>
              </w:rPr>
              <w:t>名称</w:t>
            </w:r>
          </w:p>
        </w:tc>
        <w:tc>
          <w:tcPr>
            <w:tcW w:w="759" w:type="dxa"/>
            <w:noWrap/>
            <w:tcMar>
              <w:left w:w="28" w:type="dxa"/>
              <w:right w:w="28" w:type="dxa"/>
            </w:tcMar>
            <w:vAlign w:val="center"/>
          </w:tcPr>
          <w:p>
            <w:pPr>
              <w:snapToGrid w:val="0"/>
              <w:jc w:val="center"/>
              <w:rPr>
                <w:rFonts w:ascii="宋体" w:hAnsi="宋体"/>
                <w:b/>
                <w:sz w:val="24"/>
              </w:rPr>
            </w:pPr>
            <w:r>
              <w:rPr>
                <w:rFonts w:hint="eastAsia" w:ascii="宋体" w:hAnsi="宋体"/>
                <w:b/>
                <w:sz w:val="24"/>
              </w:rPr>
              <w:t>单位</w:t>
            </w:r>
          </w:p>
        </w:tc>
        <w:tc>
          <w:tcPr>
            <w:tcW w:w="2187" w:type="dxa"/>
            <w:noWrap/>
            <w:tcMar>
              <w:left w:w="28" w:type="dxa"/>
              <w:right w:w="28" w:type="dxa"/>
            </w:tcMar>
            <w:vAlign w:val="center"/>
          </w:tcPr>
          <w:p>
            <w:pPr>
              <w:snapToGrid w:val="0"/>
              <w:jc w:val="center"/>
              <w:rPr>
                <w:rFonts w:ascii="宋体" w:hAnsi="宋体"/>
                <w:b/>
                <w:sz w:val="24"/>
              </w:rPr>
            </w:pPr>
            <w:r>
              <w:rPr>
                <w:rFonts w:hint="eastAsia" w:ascii="宋体" w:hAnsi="宋体"/>
                <w:b/>
                <w:sz w:val="24"/>
              </w:rPr>
              <w:t>型号</w:t>
            </w:r>
          </w:p>
        </w:tc>
        <w:tc>
          <w:tcPr>
            <w:tcW w:w="918" w:type="dxa"/>
            <w:noWrap/>
            <w:tcMar>
              <w:left w:w="28" w:type="dxa"/>
              <w:right w:w="28" w:type="dxa"/>
            </w:tcMar>
            <w:vAlign w:val="center"/>
          </w:tcPr>
          <w:p>
            <w:pPr>
              <w:snapToGrid w:val="0"/>
              <w:jc w:val="center"/>
              <w:rPr>
                <w:rFonts w:ascii="宋体" w:hAnsi="宋体"/>
                <w:b/>
                <w:sz w:val="24"/>
              </w:rPr>
            </w:pPr>
            <w:r>
              <w:rPr>
                <w:rFonts w:hint="eastAsia" w:ascii="宋体" w:hAnsi="宋体"/>
                <w:b/>
                <w:sz w:val="24"/>
              </w:rPr>
              <w:t>数量</w:t>
            </w:r>
          </w:p>
        </w:tc>
        <w:tc>
          <w:tcPr>
            <w:tcW w:w="1676" w:type="dxa"/>
            <w:noWrap/>
            <w:tcMar>
              <w:left w:w="28" w:type="dxa"/>
              <w:right w:w="28" w:type="dxa"/>
            </w:tcMar>
            <w:vAlign w:val="center"/>
          </w:tcPr>
          <w:p>
            <w:pPr>
              <w:snapToGrid w:val="0"/>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w:t>
            </w:r>
          </w:p>
        </w:tc>
        <w:tc>
          <w:tcPr>
            <w:tcW w:w="1905"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r>
              <w:rPr>
                <w:rFonts w:hint="eastAsia" w:hAnsi="宋体" w:cs="宋体"/>
                <w:szCs w:val="21"/>
              </w:rPr>
              <w:t>保障车</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辆</w:t>
            </w:r>
          </w:p>
        </w:tc>
        <w:tc>
          <w:tcPr>
            <w:tcW w:w="2187" w:type="dxa"/>
            <w:noWrap/>
            <w:tcMar>
              <w:left w:w="28" w:type="dxa"/>
              <w:right w:w="28" w:type="dxa"/>
            </w:tcMar>
            <w:vAlign w:val="center"/>
          </w:tcPr>
          <w:p>
            <w:pPr>
              <w:snapToGrid w:val="0"/>
              <w:jc w:val="center"/>
              <w:rPr>
                <w:rFonts w:ascii="宋体" w:hAnsi="宋体" w:cs="宋体"/>
                <w:szCs w:val="21"/>
              </w:rPr>
            </w:pPr>
            <w:r>
              <w:rPr>
                <w:rFonts w:hint="eastAsia" w:ascii="宋体" w:hAnsi="宋体" w:cs="宋体"/>
                <w:kern w:val="0"/>
                <w:szCs w:val="21"/>
              </w:rPr>
              <w:t>后援保障车</w:t>
            </w: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2</w:t>
            </w:r>
          </w:p>
        </w:tc>
        <w:tc>
          <w:tcPr>
            <w:tcW w:w="1676" w:type="dxa"/>
            <w:noWrap/>
            <w:tcMar>
              <w:left w:w="28" w:type="dxa"/>
              <w:right w:w="28" w:type="dxa"/>
            </w:tcMar>
          </w:tcPr>
          <w:p>
            <w:pPr>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2</w:t>
            </w:r>
          </w:p>
        </w:tc>
        <w:tc>
          <w:tcPr>
            <w:tcW w:w="1905"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r>
              <w:rPr>
                <w:rFonts w:hint="eastAsia" w:hAnsi="宋体" w:cs="宋体"/>
                <w:szCs w:val="21"/>
              </w:rPr>
              <w:t>护目镜</w:t>
            </w:r>
          </w:p>
        </w:tc>
        <w:tc>
          <w:tcPr>
            <w:tcW w:w="759"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r>
              <w:rPr>
                <w:rFonts w:hint="eastAsia" w:hAnsi="宋体" w:cs="宋体"/>
                <w:szCs w:val="21"/>
              </w:rPr>
              <w:t>副</w:t>
            </w:r>
          </w:p>
        </w:tc>
        <w:tc>
          <w:tcPr>
            <w:tcW w:w="2187"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p>
        </w:tc>
        <w:tc>
          <w:tcPr>
            <w:tcW w:w="918"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r>
              <w:rPr>
                <w:rFonts w:hint="eastAsia" w:hAnsi="宋体" w:cs="宋体"/>
                <w:szCs w:val="21"/>
              </w:rPr>
              <w:t>10</w:t>
            </w:r>
          </w:p>
        </w:tc>
        <w:tc>
          <w:tcPr>
            <w:tcW w:w="1676" w:type="dxa"/>
            <w:noWrap/>
            <w:tcMar>
              <w:left w:w="28" w:type="dxa"/>
              <w:right w:w="28" w:type="dxa"/>
            </w:tcMar>
          </w:tcPr>
          <w:p>
            <w:pPr>
              <w:pStyle w:val="128"/>
              <w:spacing w:line="360" w:lineRule="auto"/>
              <w:ind w:firstLine="0" w:firstLineChars="0"/>
              <w:contextualSpacing/>
              <w:jc w:val="center"/>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3</w:t>
            </w:r>
          </w:p>
        </w:tc>
        <w:tc>
          <w:tcPr>
            <w:tcW w:w="1905"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r>
              <w:rPr>
                <w:rFonts w:hint="eastAsia" w:hAnsi="宋体" w:cs="宋体"/>
                <w:szCs w:val="21"/>
              </w:rPr>
              <w:t>五点式双挂钩</w:t>
            </w:r>
          </w:p>
        </w:tc>
        <w:tc>
          <w:tcPr>
            <w:tcW w:w="759"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r>
              <w:rPr>
                <w:rFonts w:hint="eastAsia" w:hAnsi="宋体" w:cs="宋体"/>
                <w:szCs w:val="21"/>
              </w:rPr>
              <w:t>副</w:t>
            </w:r>
          </w:p>
        </w:tc>
        <w:tc>
          <w:tcPr>
            <w:tcW w:w="2187"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p>
        </w:tc>
        <w:tc>
          <w:tcPr>
            <w:tcW w:w="918" w:type="dxa"/>
            <w:noWrap/>
            <w:tcMar>
              <w:left w:w="28" w:type="dxa"/>
              <w:right w:w="28" w:type="dxa"/>
            </w:tcMar>
            <w:vAlign w:val="center"/>
          </w:tcPr>
          <w:p>
            <w:pPr>
              <w:pStyle w:val="128"/>
              <w:spacing w:line="360" w:lineRule="auto"/>
              <w:ind w:firstLine="0" w:firstLineChars="0"/>
              <w:contextualSpacing/>
              <w:jc w:val="center"/>
              <w:rPr>
                <w:rFonts w:hAnsi="宋体" w:cs="宋体"/>
                <w:szCs w:val="21"/>
              </w:rPr>
            </w:pPr>
            <w:r>
              <w:rPr>
                <w:rFonts w:hint="eastAsia" w:hAnsi="宋体" w:cs="宋体"/>
                <w:szCs w:val="21"/>
              </w:rPr>
              <w:t>10</w:t>
            </w:r>
          </w:p>
        </w:tc>
        <w:tc>
          <w:tcPr>
            <w:tcW w:w="1676" w:type="dxa"/>
            <w:noWrap/>
            <w:tcMar>
              <w:left w:w="28" w:type="dxa"/>
              <w:right w:w="28" w:type="dxa"/>
            </w:tcMar>
          </w:tcPr>
          <w:p>
            <w:pPr>
              <w:pStyle w:val="128"/>
              <w:spacing w:line="360" w:lineRule="auto"/>
              <w:ind w:firstLine="0" w:firstLineChars="0"/>
              <w:contextualSpacing/>
              <w:jc w:val="center"/>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4</w:t>
            </w:r>
          </w:p>
        </w:tc>
        <w:tc>
          <w:tcPr>
            <w:tcW w:w="1905"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正压式空气呼吸器</w:t>
            </w:r>
          </w:p>
        </w:tc>
        <w:tc>
          <w:tcPr>
            <w:tcW w:w="759"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个</w:t>
            </w:r>
          </w:p>
        </w:tc>
        <w:tc>
          <w:tcPr>
            <w:tcW w:w="2187" w:type="dxa"/>
            <w:noWrap/>
            <w:tcMar>
              <w:left w:w="28" w:type="dxa"/>
              <w:right w:w="28" w:type="dxa"/>
            </w:tcMar>
            <w:vAlign w:val="center"/>
          </w:tcPr>
          <w:p>
            <w:pPr>
              <w:snapToGrid w:val="0"/>
              <w:jc w:val="center"/>
              <w:rPr>
                <w:rFonts w:ascii="宋体" w:hAnsi="宋体" w:cs="宋体"/>
                <w:kern w:val="0"/>
                <w:szCs w:val="21"/>
              </w:rPr>
            </w:pPr>
          </w:p>
        </w:tc>
        <w:tc>
          <w:tcPr>
            <w:tcW w:w="918"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2</w:t>
            </w:r>
          </w:p>
        </w:tc>
        <w:tc>
          <w:tcPr>
            <w:tcW w:w="1676" w:type="dxa"/>
            <w:noWrap/>
            <w:tcMar>
              <w:left w:w="28" w:type="dxa"/>
              <w:right w:w="28" w:type="dxa"/>
            </w:tcMar>
          </w:tcPr>
          <w:p>
            <w:pPr>
              <w:snapToGrid w:val="0"/>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5</w:t>
            </w:r>
          </w:p>
        </w:tc>
        <w:tc>
          <w:tcPr>
            <w:tcW w:w="1905"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灭火器（手推式35kg）</w:t>
            </w:r>
          </w:p>
        </w:tc>
        <w:tc>
          <w:tcPr>
            <w:tcW w:w="759"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台</w:t>
            </w:r>
          </w:p>
        </w:tc>
        <w:tc>
          <w:tcPr>
            <w:tcW w:w="2187" w:type="dxa"/>
            <w:noWrap/>
            <w:tcMar>
              <w:left w:w="28" w:type="dxa"/>
              <w:right w:w="28" w:type="dxa"/>
            </w:tcMar>
            <w:vAlign w:val="center"/>
          </w:tcPr>
          <w:p>
            <w:pPr>
              <w:snapToGrid w:val="0"/>
              <w:jc w:val="center"/>
              <w:rPr>
                <w:rFonts w:ascii="宋体" w:hAnsi="宋体" w:cs="宋体"/>
                <w:kern w:val="0"/>
                <w:szCs w:val="21"/>
              </w:rPr>
            </w:pPr>
          </w:p>
        </w:tc>
        <w:tc>
          <w:tcPr>
            <w:tcW w:w="918"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140</w:t>
            </w:r>
          </w:p>
        </w:tc>
        <w:tc>
          <w:tcPr>
            <w:tcW w:w="1676" w:type="dxa"/>
            <w:noWrap/>
            <w:tcMar>
              <w:left w:w="28" w:type="dxa"/>
              <w:right w:w="28" w:type="dxa"/>
            </w:tcMar>
          </w:tcPr>
          <w:p>
            <w:pPr>
              <w:snapToGrid w:val="0"/>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6</w:t>
            </w:r>
          </w:p>
        </w:tc>
        <w:tc>
          <w:tcPr>
            <w:tcW w:w="1905" w:type="dxa"/>
            <w:noWrap/>
            <w:tcMar>
              <w:left w:w="28" w:type="dxa"/>
              <w:right w:w="28" w:type="dxa"/>
            </w:tcMar>
          </w:tcPr>
          <w:p>
            <w:pPr>
              <w:autoSpaceDE w:val="0"/>
              <w:autoSpaceDN w:val="0"/>
              <w:adjustRightInd w:val="0"/>
              <w:jc w:val="center"/>
              <w:rPr>
                <w:rFonts w:ascii="宋体" w:hAnsi="宋体" w:cs="宋体"/>
                <w:kern w:val="0"/>
                <w:szCs w:val="21"/>
              </w:rPr>
            </w:pPr>
            <w:r>
              <w:rPr>
                <w:rFonts w:hint="eastAsia" w:ascii="宋体" w:hAnsi="宋体" w:cs="宋体"/>
                <w:kern w:val="0"/>
                <w:szCs w:val="21"/>
              </w:rPr>
              <w:t>折叠式担架</w:t>
            </w:r>
          </w:p>
        </w:tc>
        <w:tc>
          <w:tcPr>
            <w:tcW w:w="759" w:type="dxa"/>
            <w:noWrap/>
            <w:tcMar>
              <w:left w:w="28" w:type="dxa"/>
              <w:right w:w="28" w:type="dxa"/>
            </w:tcMar>
          </w:tcPr>
          <w:p>
            <w:pPr>
              <w:autoSpaceDE w:val="0"/>
              <w:autoSpaceDN w:val="0"/>
              <w:adjustRightInd w:val="0"/>
              <w:jc w:val="center"/>
              <w:rPr>
                <w:rFonts w:ascii="宋体" w:hAnsi="宋体" w:cs="宋体"/>
                <w:kern w:val="0"/>
                <w:szCs w:val="21"/>
              </w:rPr>
            </w:pPr>
            <w:r>
              <w:rPr>
                <w:rFonts w:hint="eastAsia" w:ascii="宋体" w:hAnsi="宋体" w:cs="宋体"/>
                <w:kern w:val="0"/>
                <w:szCs w:val="21"/>
              </w:rPr>
              <w:t>副</w:t>
            </w:r>
          </w:p>
        </w:tc>
        <w:tc>
          <w:tcPr>
            <w:tcW w:w="2187" w:type="dxa"/>
            <w:noWrap/>
            <w:tcMar>
              <w:left w:w="28" w:type="dxa"/>
              <w:right w:w="28" w:type="dxa"/>
            </w:tcMar>
            <w:vAlign w:val="center"/>
          </w:tcPr>
          <w:p>
            <w:pPr>
              <w:snapToGrid w:val="0"/>
              <w:jc w:val="center"/>
              <w:rPr>
                <w:rFonts w:ascii="宋体" w:hAnsi="宋体" w:cs="宋体"/>
                <w:kern w:val="0"/>
                <w:szCs w:val="21"/>
              </w:rPr>
            </w:pPr>
          </w:p>
        </w:tc>
        <w:tc>
          <w:tcPr>
            <w:tcW w:w="918"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2</w:t>
            </w:r>
          </w:p>
        </w:tc>
        <w:tc>
          <w:tcPr>
            <w:tcW w:w="1676" w:type="dxa"/>
            <w:noWrap/>
            <w:tcMar>
              <w:left w:w="28" w:type="dxa"/>
              <w:right w:w="28" w:type="dxa"/>
            </w:tcMar>
          </w:tcPr>
          <w:p>
            <w:pPr>
              <w:snapToGrid w:val="0"/>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7</w:t>
            </w:r>
          </w:p>
        </w:tc>
        <w:tc>
          <w:tcPr>
            <w:tcW w:w="1905" w:type="dxa"/>
            <w:noWrap/>
            <w:tcMar>
              <w:left w:w="28" w:type="dxa"/>
              <w:right w:w="28" w:type="dxa"/>
            </w:tcMar>
          </w:tcPr>
          <w:p>
            <w:pPr>
              <w:autoSpaceDE w:val="0"/>
              <w:autoSpaceDN w:val="0"/>
              <w:adjustRightInd w:val="0"/>
              <w:jc w:val="center"/>
              <w:rPr>
                <w:rFonts w:ascii="宋体" w:hAnsi="宋体" w:cs="宋体"/>
                <w:kern w:val="0"/>
                <w:szCs w:val="21"/>
              </w:rPr>
            </w:pPr>
            <w:r>
              <w:rPr>
                <w:rFonts w:hint="eastAsia" w:ascii="宋体" w:hAnsi="宋体" w:cs="宋体"/>
                <w:kern w:val="0"/>
                <w:szCs w:val="21"/>
              </w:rPr>
              <w:t>救生绳索</w:t>
            </w:r>
          </w:p>
        </w:tc>
        <w:tc>
          <w:tcPr>
            <w:tcW w:w="759" w:type="dxa"/>
            <w:noWrap/>
            <w:tcMar>
              <w:left w:w="28" w:type="dxa"/>
              <w:right w:w="28" w:type="dxa"/>
            </w:tcMar>
          </w:tcPr>
          <w:p>
            <w:pPr>
              <w:autoSpaceDE w:val="0"/>
              <w:autoSpaceDN w:val="0"/>
              <w:adjustRightInd w:val="0"/>
              <w:jc w:val="center"/>
              <w:rPr>
                <w:rFonts w:ascii="宋体" w:hAnsi="宋体" w:cs="宋体"/>
                <w:kern w:val="0"/>
                <w:szCs w:val="21"/>
              </w:rPr>
            </w:pPr>
            <w:r>
              <w:rPr>
                <w:rFonts w:hint="eastAsia" w:ascii="宋体" w:hAnsi="宋体" w:cs="宋体"/>
                <w:kern w:val="0"/>
                <w:szCs w:val="21"/>
              </w:rPr>
              <w:t>条</w:t>
            </w:r>
          </w:p>
        </w:tc>
        <w:tc>
          <w:tcPr>
            <w:tcW w:w="2187" w:type="dxa"/>
            <w:noWrap/>
            <w:tcMar>
              <w:left w:w="28" w:type="dxa"/>
              <w:right w:w="28" w:type="dxa"/>
            </w:tcMar>
            <w:vAlign w:val="center"/>
          </w:tcPr>
          <w:p>
            <w:pPr>
              <w:snapToGrid w:val="0"/>
              <w:jc w:val="center"/>
              <w:rPr>
                <w:rFonts w:ascii="宋体" w:hAnsi="宋体" w:cs="宋体"/>
                <w:kern w:val="0"/>
                <w:szCs w:val="21"/>
              </w:rPr>
            </w:pPr>
          </w:p>
        </w:tc>
        <w:tc>
          <w:tcPr>
            <w:tcW w:w="918"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4</w:t>
            </w:r>
          </w:p>
        </w:tc>
        <w:tc>
          <w:tcPr>
            <w:tcW w:w="1676" w:type="dxa"/>
            <w:noWrap/>
            <w:tcMar>
              <w:left w:w="28" w:type="dxa"/>
              <w:right w:w="28" w:type="dxa"/>
            </w:tcMar>
          </w:tcPr>
          <w:p>
            <w:pPr>
              <w:snapToGrid w:val="0"/>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8</w:t>
            </w:r>
          </w:p>
        </w:tc>
        <w:tc>
          <w:tcPr>
            <w:tcW w:w="1905"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隔离警示带</w:t>
            </w:r>
          </w:p>
        </w:tc>
        <w:tc>
          <w:tcPr>
            <w:tcW w:w="759"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米</w:t>
            </w:r>
          </w:p>
        </w:tc>
        <w:tc>
          <w:tcPr>
            <w:tcW w:w="2187" w:type="dxa"/>
            <w:noWrap/>
            <w:tcMar>
              <w:left w:w="28" w:type="dxa"/>
              <w:right w:w="28" w:type="dxa"/>
            </w:tcMar>
            <w:vAlign w:val="center"/>
          </w:tcPr>
          <w:p>
            <w:pPr>
              <w:snapToGrid w:val="0"/>
              <w:jc w:val="center"/>
              <w:rPr>
                <w:rFonts w:ascii="宋体" w:hAnsi="宋体" w:cs="宋体"/>
                <w:kern w:val="0"/>
                <w:szCs w:val="21"/>
              </w:rPr>
            </w:pPr>
          </w:p>
        </w:tc>
        <w:tc>
          <w:tcPr>
            <w:tcW w:w="918"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200</w:t>
            </w:r>
          </w:p>
        </w:tc>
        <w:tc>
          <w:tcPr>
            <w:tcW w:w="1676" w:type="dxa"/>
            <w:noWrap/>
            <w:tcMar>
              <w:left w:w="28" w:type="dxa"/>
              <w:right w:w="28" w:type="dxa"/>
            </w:tcMar>
          </w:tcPr>
          <w:p>
            <w:pPr>
              <w:snapToGrid w:val="0"/>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9</w:t>
            </w:r>
          </w:p>
        </w:tc>
        <w:tc>
          <w:tcPr>
            <w:tcW w:w="1905"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应急手电筒</w:t>
            </w:r>
          </w:p>
        </w:tc>
        <w:tc>
          <w:tcPr>
            <w:tcW w:w="759"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把</w:t>
            </w:r>
          </w:p>
        </w:tc>
        <w:tc>
          <w:tcPr>
            <w:tcW w:w="2187" w:type="dxa"/>
            <w:noWrap/>
            <w:tcMar>
              <w:left w:w="28" w:type="dxa"/>
              <w:right w:w="28" w:type="dxa"/>
            </w:tcMar>
            <w:vAlign w:val="center"/>
          </w:tcPr>
          <w:p>
            <w:pPr>
              <w:snapToGrid w:val="0"/>
              <w:jc w:val="center"/>
              <w:rPr>
                <w:rFonts w:ascii="宋体" w:hAnsi="宋体" w:cs="宋体"/>
                <w:kern w:val="0"/>
                <w:szCs w:val="21"/>
              </w:rPr>
            </w:pPr>
          </w:p>
        </w:tc>
        <w:tc>
          <w:tcPr>
            <w:tcW w:w="918"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10</w:t>
            </w:r>
          </w:p>
        </w:tc>
        <w:tc>
          <w:tcPr>
            <w:tcW w:w="1676" w:type="dxa"/>
            <w:noWrap/>
            <w:tcMar>
              <w:left w:w="28" w:type="dxa"/>
              <w:right w:w="28" w:type="dxa"/>
            </w:tcMar>
          </w:tcPr>
          <w:p>
            <w:pPr>
              <w:snapToGrid w:val="0"/>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10</w:t>
            </w:r>
          </w:p>
        </w:tc>
        <w:tc>
          <w:tcPr>
            <w:tcW w:w="1905"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气体检测仪</w:t>
            </w:r>
          </w:p>
        </w:tc>
        <w:tc>
          <w:tcPr>
            <w:tcW w:w="759"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个</w:t>
            </w:r>
          </w:p>
        </w:tc>
        <w:tc>
          <w:tcPr>
            <w:tcW w:w="2187" w:type="dxa"/>
            <w:noWrap/>
            <w:tcMar>
              <w:left w:w="28" w:type="dxa"/>
              <w:right w:w="28" w:type="dxa"/>
            </w:tcMar>
            <w:vAlign w:val="center"/>
          </w:tcPr>
          <w:p>
            <w:pPr>
              <w:snapToGrid w:val="0"/>
              <w:jc w:val="center"/>
              <w:rPr>
                <w:rFonts w:ascii="宋体" w:hAnsi="宋体" w:cs="宋体"/>
                <w:kern w:val="0"/>
                <w:szCs w:val="21"/>
              </w:rPr>
            </w:pPr>
          </w:p>
        </w:tc>
        <w:tc>
          <w:tcPr>
            <w:tcW w:w="918" w:type="dxa"/>
            <w:noWrap/>
            <w:tcMar>
              <w:left w:w="28" w:type="dxa"/>
              <w:right w:w="28" w:type="dxa"/>
            </w:tcMar>
            <w:vAlign w:val="center"/>
          </w:tcPr>
          <w:p>
            <w:pPr>
              <w:snapToGrid w:val="0"/>
              <w:jc w:val="center"/>
              <w:rPr>
                <w:rFonts w:ascii="宋体" w:hAnsi="宋体" w:cs="宋体"/>
                <w:kern w:val="0"/>
                <w:szCs w:val="21"/>
              </w:rPr>
            </w:pPr>
            <w:r>
              <w:rPr>
                <w:rFonts w:hint="eastAsia" w:ascii="宋体" w:hAnsi="宋体" w:cs="宋体"/>
                <w:kern w:val="0"/>
                <w:szCs w:val="21"/>
              </w:rPr>
              <w:t>3</w:t>
            </w:r>
          </w:p>
        </w:tc>
        <w:tc>
          <w:tcPr>
            <w:tcW w:w="1676" w:type="dxa"/>
            <w:noWrap/>
            <w:tcMar>
              <w:left w:w="28" w:type="dxa"/>
              <w:right w:w="28" w:type="dxa"/>
            </w:tcMar>
          </w:tcPr>
          <w:p>
            <w:pPr>
              <w:snapToGrid w:val="0"/>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11</w:t>
            </w:r>
          </w:p>
        </w:tc>
        <w:tc>
          <w:tcPr>
            <w:tcW w:w="1905"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空气呼吸器</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个</w:t>
            </w:r>
          </w:p>
        </w:tc>
        <w:tc>
          <w:tcPr>
            <w:tcW w:w="2187" w:type="dxa"/>
            <w:noWrap/>
            <w:tcMar>
              <w:left w:w="28" w:type="dxa"/>
              <w:right w:w="28" w:type="dxa"/>
            </w:tcMar>
            <w:vAlign w:val="center"/>
          </w:tcPr>
          <w:p>
            <w:pPr>
              <w:snapToGrid w:val="0"/>
              <w:jc w:val="center"/>
              <w:rPr>
                <w:rFonts w:ascii="宋体" w:hAnsi="宋体" w:cs="宋体"/>
                <w:szCs w:val="21"/>
              </w:rPr>
            </w:pP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2</w:t>
            </w:r>
          </w:p>
        </w:tc>
        <w:tc>
          <w:tcPr>
            <w:tcW w:w="1676" w:type="dxa"/>
            <w:noWrap/>
            <w:tcMar>
              <w:left w:w="28" w:type="dxa"/>
              <w:right w:w="28" w:type="dxa"/>
            </w:tcMar>
          </w:tcPr>
          <w:p>
            <w:pPr>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12</w:t>
            </w:r>
          </w:p>
        </w:tc>
        <w:tc>
          <w:tcPr>
            <w:tcW w:w="1905"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对讲机</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台</w:t>
            </w:r>
          </w:p>
        </w:tc>
        <w:tc>
          <w:tcPr>
            <w:tcW w:w="2187" w:type="dxa"/>
            <w:noWrap/>
            <w:tcMar>
              <w:left w:w="28" w:type="dxa"/>
              <w:right w:w="28" w:type="dxa"/>
            </w:tcMar>
            <w:vAlign w:val="center"/>
          </w:tcPr>
          <w:p>
            <w:pPr>
              <w:snapToGrid w:val="0"/>
              <w:jc w:val="center"/>
              <w:rPr>
                <w:rFonts w:ascii="宋体" w:hAnsi="宋体" w:cs="宋体"/>
                <w:szCs w:val="21"/>
              </w:rPr>
            </w:pP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20</w:t>
            </w:r>
          </w:p>
        </w:tc>
        <w:tc>
          <w:tcPr>
            <w:tcW w:w="1676" w:type="dxa"/>
            <w:noWrap/>
            <w:tcMar>
              <w:left w:w="28" w:type="dxa"/>
              <w:right w:w="28" w:type="dxa"/>
            </w:tcMa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1193" w:type="dxa"/>
            <w:noWrap/>
            <w:tcMar>
              <w:left w:w="28" w:type="dxa"/>
              <w:right w:w="28" w:type="dxa"/>
            </w:tcMar>
            <w:vAlign w:val="center"/>
          </w:tcPr>
          <w:p>
            <w:pPr>
              <w:snapToGrid w:val="0"/>
              <w:jc w:val="center"/>
              <w:rPr>
                <w:rFonts w:ascii="宋体" w:hAnsi="宋体" w:cs="宋体"/>
                <w:szCs w:val="21"/>
              </w:rPr>
            </w:pPr>
            <w:bookmarkStart w:id="262" w:name="_Toc25238"/>
            <w:r>
              <w:rPr>
                <w:rFonts w:hint="eastAsia" w:ascii="宋体" w:hAnsi="宋体" w:cs="宋体"/>
                <w:szCs w:val="21"/>
              </w:rPr>
              <w:t>13</w:t>
            </w:r>
          </w:p>
        </w:tc>
        <w:tc>
          <w:tcPr>
            <w:tcW w:w="1905"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自吸过滤式防毒面具</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套</w:t>
            </w:r>
          </w:p>
        </w:tc>
        <w:tc>
          <w:tcPr>
            <w:tcW w:w="2187" w:type="dxa"/>
            <w:noWrap/>
            <w:tcMar>
              <w:left w:w="28" w:type="dxa"/>
              <w:right w:w="28" w:type="dxa"/>
            </w:tcMar>
            <w:vAlign w:val="center"/>
          </w:tcPr>
          <w:p>
            <w:pPr>
              <w:snapToGrid w:val="0"/>
              <w:jc w:val="center"/>
              <w:rPr>
                <w:rFonts w:ascii="宋体" w:hAnsi="宋体" w:cs="宋体"/>
                <w:szCs w:val="21"/>
              </w:rPr>
            </w:pP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6</w:t>
            </w:r>
          </w:p>
        </w:tc>
        <w:tc>
          <w:tcPr>
            <w:tcW w:w="1676" w:type="dxa"/>
            <w:noWrap/>
            <w:tcMar>
              <w:left w:w="28" w:type="dxa"/>
              <w:right w:w="28" w:type="dxa"/>
            </w:tcMa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14</w:t>
            </w:r>
          </w:p>
        </w:tc>
        <w:tc>
          <w:tcPr>
            <w:tcW w:w="1905"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急救药箱（含解毒、烧伤等药品）</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只</w:t>
            </w:r>
          </w:p>
        </w:tc>
        <w:tc>
          <w:tcPr>
            <w:tcW w:w="2187" w:type="dxa"/>
            <w:noWrap/>
            <w:tcMar>
              <w:left w:w="28" w:type="dxa"/>
              <w:right w:w="28" w:type="dxa"/>
            </w:tcMar>
            <w:vAlign w:val="center"/>
          </w:tcPr>
          <w:p>
            <w:pPr>
              <w:snapToGrid w:val="0"/>
              <w:jc w:val="center"/>
              <w:rPr>
                <w:rFonts w:ascii="宋体" w:hAnsi="宋体" w:cs="宋体"/>
                <w:szCs w:val="21"/>
              </w:rPr>
            </w:pP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w:t>
            </w:r>
          </w:p>
        </w:tc>
        <w:tc>
          <w:tcPr>
            <w:tcW w:w="1676" w:type="dxa"/>
            <w:noWrap/>
            <w:tcMar>
              <w:left w:w="28" w:type="dxa"/>
              <w:right w:w="28" w:type="dxa"/>
            </w:tcMa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15</w:t>
            </w:r>
          </w:p>
        </w:tc>
        <w:tc>
          <w:tcPr>
            <w:tcW w:w="1905"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绝缘鞋</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双</w:t>
            </w:r>
          </w:p>
        </w:tc>
        <w:tc>
          <w:tcPr>
            <w:tcW w:w="2187" w:type="dxa"/>
            <w:noWrap/>
            <w:tcMar>
              <w:left w:w="28" w:type="dxa"/>
              <w:right w:w="28" w:type="dxa"/>
            </w:tcMar>
            <w:vAlign w:val="center"/>
          </w:tcPr>
          <w:p>
            <w:pPr>
              <w:snapToGrid w:val="0"/>
              <w:jc w:val="center"/>
              <w:rPr>
                <w:rFonts w:ascii="宋体" w:hAnsi="宋体" w:cs="宋体"/>
                <w:szCs w:val="21"/>
              </w:rPr>
            </w:pP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6</w:t>
            </w:r>
          </w:p>
        </w:tc>
        <w:tc>
          <w:tcPr>
            <w:tcW w:w="1676" w:type="dxa"/>
            <w:noWrap/>
            <w:tcMar>
              <w:left w:w="28" w:type="dxa"/>
              <w:right w:w="28" w:type="dxa"/>
            </w:tcMa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16</w:t>
            </w:r>
          </w:p>
        </w:tc>
        <w:tc>
          <w:tcPr>
            <w:tcW w:w="1905"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绝缘手套</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双</w:t>
            </w:r>
          </w:p>
        </w:tc>
        <w:tc>
          <w:tcPr>
            <w:tcW w:w="2187" w:type="dxa"/>
            <w:noWrap/>
            <w:tcMar>
              <w:left w:w="28" w:type="dxa"/>
              <w:right w:w="28" w:type="dxa"/>
            </w:tcMar>
            <w:vAlign w:val="center"/>
          </w:tcPr>
          <w:p>
            <w:pPr>
              <w:snapToGrid w:val="0"/>
              <w:jc w:val="center"/>
              <w:rPr>
                <w:rFonts w:ascii="宋体" w:hAnsi="宋体" w:cs="宋体"/>
                <w:szCs w:val="21"/>
              </w:rPr>
            </w:pP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6</w:t>
            </w:r>
          </w:p>
        </w:tc>
        <w:tc>
          <w:tcPr>
            <w:tcW w:w="1676" w:type="dxa"/>
            <w:noWrap/>
            <w:tcMar>
              <w:left w:w="28" w:type="dxa"/>
              <w:right w:w="28" w:type="dxa"/>
            </w:tcMa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1193"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17</w:t>
            </w:r>
          </w:p>
        </w:tc>
        <w:tc>
          <w:tcPr>
            <w:tcW w:w="1905"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应急灯</w:t>
            </w:r>
          </w:p>
        </w:tc>
        <w:tc>
          <w:tcPr>
            <w:tcW w:w="759"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套</w:t>
            </w:r>
          </w:p>
        </w:tc>
        <w:tc>
          <w:tcPr>
            <w:tcW w:w="2187" w:type="dxa"/>
            <w:noWrap/>
            <w:tcMar>
              <w:left w:w="28" w:type="dxa"/>
              <w:right w:w="28" w:type="dxa"/>
            </w:tcMar>
            <w:vAlign w:val="center"/>
          </w:tcPr>
          <w:p>
            <w:pPr>
              <w:snapToGrid w:val="0"/>
              <w:jc w:val="center"/>
              <w:rPr>
                <w:rFonts w:ascii="宋体" w:hAnsi="宋体" w:cs="宋体"/>
                <w:szCs w:val="21"/>
              </w:rPr>
            </w:pPr>
          </w:p>
        </w:tc>
        <w:tc>
          <w:tcPr>
            <w:tcW w:w="918" w:type="dxa"/>
            <w:noWrap/>
            <w:tcMar>
              <w:left w:w="28" w:type="dxa"/>
              <w:right w:w="28" w:type="dxa"/>
            </w:tcMar>
            <w:vAlign w:val="center"/>
          </w:tcPr>
          <w:p>
            <w:pPr>
              <w:snapToGrid w:val="0"/>
              <w:jc w:val="center"/>
              <w:rPr>
                <w:rFonts w:ascii="宋体" w:hAnsi="宋体" w:cs="宋体"/>
                <w:szCs w:val="21"/>
              </w:rPr>
            </w:pPr>
            <w:r>
              <w:rPr>
                <w:rFonts w:hint="eastAsia" w:ascii="宋体" w:hAnsi="宋体" w:cs="宋体"/>
                <w:szCs w:val="21"/>
              </w:rPr>
              <w:t>6</w:t>
            </w:r>
          </w:p>
        </w:tc>
        <w:tc>
          <w:tcPr>
            <w:tcW w:w="1676" w:type="dxa"/>
            <w:noWrap/>
            <w:tcMar>
              <w:left w:w="28" w:type="dxa"/>
              <w:right w:w="28" w:type="dxa"/>
            </w:tcMar>
          </w:tcPr>
          <w:p>
            <w:pPr>
              <w:snapToGrid w:val="0"/>
              <w:jc w:val="center"/>
              <w:rPr>
                <w:rFonts w:ascii="宋体" w:hAnsi="宋体" w:cs="宋体"/>
                <w:szCs w:val="21"/>
              </w:rPr>
            </w:pPr>
          </w:p>
        </w:tc>
      </w:tr>
    </w:tbl>
    <w:p>
      <w:pPr>
        <w:pStyle w:val="5"/>
        <w:keepNext w:val="0"/>
        <w:keepLines w:val="0"/>
        <w:snapToGrid w:val="0"/>
        <w:spacing w:before="0" w:after="0" w:line="360" w:lineRule="auto"/>
        <w:jc w:val="left"/>
        <w:rPr>
          <w:rFonts w:ascii="宋体" w:hAnsi="宋体" w:cs="宋体"/>
          <w:sz w:val="28"/>
          <w:szCs w:val="28"/>
        </w:rPr>
      </w:pPr>
      <w:bookmarkStart w:id="263" w:name="_Toc14190"/>
      <w:r>
        <w:rPr>
          <w:rFonts w:hint="eastAsia" w:ascii="宋体" w:hAnsi="宋体" w:cs="宋体"/>
          <w:sz w:val="28"/>
          <w:szCs w:val="28"/>
        </w:rPr>
        <w:t>2.11.6 人员培训</w:t>
      </w:r>
      <w:bookmarkEnd w:id="262"/>
      <w:bookmarkEnd w:id="263"/>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1.安全教育</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昆明云内动力股份有限公司所有员工上岗前均进行“三级”安全教育培训，经考试合格后方可上岗；安全管理人员和特种作业人员做到了持证上岗；公司定期组织各类人员进行安全生产法律法规、安全管理制度和操作规程等的教育和培训，各类安全教育和培训工作均按规定正常开展。</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2.安全管理人员持证情况</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昆明云内动力股份有限公司主要负责人、安全管理人员经过培训取得了</w:t>
      </w:r>
      <w:r>
        <w:rPr>
          <w:rFonts w:hint="eastAsia" w:ascii="宋体" w:hAnsi="宋体"/>
          <w:color w:val="000000" w:themeColor="text1"/>
          <w:sz w:val="28"/>
          <w:szCs w:val="28"/>
          <w14:textFill>
            <w14:solidFill>
              <w14:schemeClr w14:val="tx1"/>
            </w14:solidFill>
          </w14:textFill>
        </w:rPr>
        <w:t>安全管理资格书，安全管理人员持证情况见表2-27。安全管理人员安全管理资格证书（部分）详见附件十三。</w:t>
      </w:r>
    </w:p>
    <w:p>
      <w:pPr>
        <w:jc w:val="center"/>
        <w:rPr>
          <w:rFonts w:ascii="宋体" w:hAnsi="宋体" w:cs="宋体"/>
          <w:bCs/>
          <w:sz w:val="24"/>
        </w:rPr>
      </w:pPr>
      <w:r>
        <w:rPr>
          <w:rFonts w:hint="eastAsia" w:ascii="宋体" w:hAnsi="宋体" w:cs="宋体"/>
          <w:bCs/>
          <w:sz w:val="24"/>
        </w:rPr>
        <w:t>表2-27安全管理人员持证情况</w:t>
      </w:r>
    </w:p>
    <w:tbl>
      <w:tblPr>
        <w:tblStyle w:val="52"/>
        <w:tblW w:w="9000"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975"/>
        <w:gridCol w:w="2709"/>
        <w:gridCol w:w="1843"/>
        <w:gridCol w:w="1333"/>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7" w:type="dxa"/>
            <w:noWrap/>
            <w:vAlign w:val="center"/>
          </w:tcPr>
          <w:p>
            <w:pPr>
              <w:snapToGrid w:val="0"/>
              <w:jc w:val="center"/>
              <w:rPr>
                <w:rFonts w:ascii="宋体" w:hAnsi="宋体"/>
                <w:b/>
                <w:szCs w:val="21"/>
              </w:rPr>
            </w:pPr>
            <w:r>
              <w:rPr>
                <w:rFonts w:hint="eastAsia" w:ascii="宋体" w:hAnsi="宋体"/>
                <w:b/>
                <w:szCs w:val="21"/>
              </w:rPr>
              <w:t>序号</w:t>
            </w:r>
          </w:p>
        </w:tc>
        <w:tc>
          <w:tcPr>
            <w:tcW w:w="975" w:type="dxa"/>
            <w:noWrap/>
            <w:vAlign w:val="center"/>
          </w:tcPr>
          <w:p>
            <w:pPr>
              <w:snapToGrid w:val="0"/>
              <w:jc w:val="center"/>
              <w:rPr>
                <w:rFonts w:ascii="宋体" w:hAnsi="宋体"/>
                <w:b/>
                <w:szCs w:val="21"/>
              </w:rPr>
            </w:pPr>
            <w:r>
              <w:rPr>
                <w:rFonts w:hint="eastAsia" w:ascii="宋体" w:hAnsi="宋体"/>
                <w:b/>
                <w:szCs w:val="21"/>
              </w:rPr>
              <w:t>姓名</w:t>
            </w:r>
          </w:p>
        </w:tc>
        <w:tc>
          <w:tcPr>
            <w:tcW w:w="2709" w:type="dxa"/>
            <w:noWrap/>
            <w:vAlign w:val="center"/>
          </w:tcPr>
          <w:p>
            <w:pPr>
              <w:snapToGrid w:val="0"/>
              <w:jc w:val="center"/>
              <w:rPr>
                <w:rFonts w:ascii="宋体" w:hAnsi="宋体"/>
                <w:b/>
                <w:szCs w:val="21"/>
              </w:rPr>
            </w:pPr>
            <w:r>
              <w:rPr>
                <w:rFonts w:hint="eastAsia" w:ascii="宋体" w:hAnsi="宋体"/>
                <w:b/>
                <w:szCs w:val="21"/>
              </w:rPr>
              <w:t>职务</w:t>
            </w:r>
          </w:p>
        </w:tc>
        <w:tc>
          <w:tcPr>
            <w:tcW w:w="1843" w:type="dxa"/>
            <w:noWrap/>
            <w:vAlign w:val="center"/>
          </w:tcPr>
          <w:p>
            <w:pPr>
              <w:snapToGrid w:val="0"/>
              <w:jc w:val="center"/>
              <w:rPr>
                <w:rFonts w:ascii="宋体" w:hAnsi="宋体"/>
                <w:b/>
                <w:szCs w:val="21"/>
              </w:rPr>
            </w:pPr>
            <w:r>
              <w:rPr>
                <w:rFonts w:hint="eastAsia" w:ascii="宋体" w:hAnsi="宋体"/>
                <w:b/>
                <w:szCs w:val="21"/>
              </w:rPr>
              <w:t>证书编号</w:t>
            </w:r>
          </w:p>
        </w:tc>
        <w:tc>
          <w:tcPr>
            <w:tcW w:w="1333" w:type="dxa"/>
            <w:noWrap/>
            <w:vAlign w:val="center"/>
          </w:tcPr>
          <w:p>
            <w:pPr>
              <w:snapToGrid w:val="0"/>
              <w:jc w:val="center"/>
              <w:rPr>
                <w:rFonts w:ascii="宋体" w:hAnsi="宋体"/>
                <w:b/>
                <w:szCs w:val="21"/>
              </w:rPr>
            </w:pPr>
            <w:r>
              <w:rPr>
                <w:rFonts w:hint="eastAsia" w:ascii="宋体" w:hAnsi="宋体"/>
                <w:b/>
                <w:szCs w:val="21"/>
              </w:rPr>
              <w:t>有效期</w:t>
            </w:r>
          </w:p>
        </w:tc>
        <w:tc>
          <w:tcPr>
            <w:tcW w:w="1453" w:type="dxa"/>
            <w:noWrap/>
            <w:tcMar>
              <w:left w:w="28" w:type="dxa"/>
              <w:right w:w="28" w:type="dxa"/>
            </w:tcMar>
            <w:vAlign w:val="center"/>
          </w:tcPr>
          <w:p>
            <w:pPr>
              <w:snapToGrid w:val="0"/>
              <w:jc w:val="center"/>
              <w:rPr>
                <w:rFonts w:ascii="宋体" w:hAnsi="宋体"/>
                <w:b/>
                <w:szCs w:val="21"/>
              </w:rPr>
            </w:pPr>
            <w:r>
              <w:rPr>
                <w:rFonts w:hint="eastAsia" w:ascii="宋体" w:hAnsi="宋体"/>
                <w:b/>
                <w:szCs w:val="21"/>
              </w:rPr>
              <w:t>发证机关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杨  波</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党委书记、董事长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AJ0122022FZ1219</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宋国富</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总经理</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AJ0122022FG1205</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周  涛</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安全分管领导、副总经理</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AJ0122022FG1204</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屠建国</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副总经理兼财务总监</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AJ0122022FG1199</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张  洪</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总经理助理</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AJ0122022FG1175</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邱  江</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环境安全管理部副部长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AJ0122022FG1174</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彭  鹄</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昆明技术中心主任</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AJ0122022FG1163</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王  娟</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党群工作部部长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AJ0122022FG1146</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朱国友</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财务管理部部长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AJ0122022FG1154</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蒋炼勇</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人力资源部部长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AJ0122022FG1153</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李  岗</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安保后勤部部长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AJ0122022FG1176</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杨连宝</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质量管理部部长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AJ0122022FG1156</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李文杰</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生产管理部部长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AJ0122022FG1194</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王思洪</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设备动力部部长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AJ0122022FG1184</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洪文宇</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采购部主持工作副部长</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AJ0122022FG1193</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曹泽宇</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装配车间主持工作副主任</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AJ0122022FG1161</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杨堂锋</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汽油机车间主任</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AJ0122022FG1183</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缪  护</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乘材事业部经理</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AJ0122022FG1191</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陈云龙</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铸工车间主持工作副主任</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AJ0122022FG1165</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蒋存伟</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AJ0122022FG1182</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安玉东</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AJ0122022FG1170</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戴艳华</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AJ0122022FG1173</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杨双德</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AJ0122022FG1160</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胡  悝</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AJ0122022FG1195</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杜龙生</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AJ0122022FG1167</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  旭</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AJ0122022FG1169</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罗  浩</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AJ0122022FG1171</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李国精</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AJ0122022FG1186</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29</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任蒙蒙</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AJ0122022FG1189</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杨  浩</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AJ0122022FG1207</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31</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赵玉林</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AJ0122022FG1158</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杨雪娇</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AJ0122022FG1151</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周鹏飞</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AJ0122022FG1159</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雷婷婷</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AJ0122022FG1192</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w:t>
            </w:r>
          </w:p>
        </w:tc>
        <w:tc>
          <w:tcPr>
            <w:tcW w:w="975"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王元俊</w:t>
            </w:r>
          </w:p>
        </w:tc>
        <w:tc>
          <w:tcPr>
            <w:tcW w:w="2709"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兼职安全员</w:t>
            </w:r>
          </w:p>
        </w:tc>
        <w:tc>
          <w:tcPr>
            <w:tcW w:w="184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AJ0122022FG1177</w:t>
            </w:r>
          </w:p>
        </w:tc>
        <w:tc>
          <w:tcPr>
            <w:tcW w:w="1333" w:type="dxa"/>
            <w:noWrap/>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2024.03.14</w:t>
            </w:r>
          </w:p>
        </w:tc>
        <w:tc>
          <w:tcPr>
            <w:tcW w:w="1453" w:type="dxa"/>
            <w:noWrap/>
            <w:tcMar>
              <w:left w:w="28" w:type="dxa"/>
              <w:right w:w="28" w:type="dxa"/>
            </w:tcMar>
            <w:vAlign w:val="center"/>
          </w:tcPr>
          <w:p>
            <w:pPr>
              <w:snapToGrid w:val="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昆明市应急局</w:t>
            </w:r>
          </w:p>
        </w:tc>
      </w:tr>
    </w:tbl>
    <w:p>
      <w:pPr>
        <w:adjustRightInd w:val="0"/>
        <w:snapToGrid w:val="0"/>
        <w:spacing w:line="360" w:lineRule="auto"/>
        <w:ind w:firstLine="560" w:firstLineChars="200"/>
        <w:rPr>
          <w:rFonts w:ascii="宋体" w:hAnsi="宋体"/>
          <w:sz w:val="28"/>
          <w:szCs w:val="28"/>
        </w:rPr>
      </w:pPr>
      <w:r>
        <w:rPr>
          <w:rFonts w:hint="eastAsia" w:ascii="宋体" w:hAnsi="宋体"/>
          <w:color w:val="000000" w:themeColor="text1"/>
          <w:sz w:val="28"/>
          <w:szCs w:val="28"/>
          <w14:textFill>
            <w14:solidFill>
              <w14:schemeClr w14:val="tx1"/>
            </w14:solidFill>
          </w14:textFill>
        </w:rPr>
        <w:t>3.特种作业人员持证情况</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昆明云内动力股份有限公司涉及的特种作业主要有叉车、压力容器操作、高处作业等。上述特种作业人员均经过培训人员经过培训取得了特种作业人员资</w:t>
      </w:r>
      <w:r>
        <w:rPr>
          <w:rFonts w:hint="eastAsia" w:ascii="宋体" w:hAnsi="宋体"/>
          <w:color w:val="000000" w:themeColor="text1"/>
          <w:sz w:val="28"/>
          <w:szCs w:val="28"/>
          <w14:textFill>
            <w14:solidFill>
              <w14:schemeClr w14:val="tx1"/>
            </w14:solidFill>
          </w14:textFill>
        </w:rPr>
        <w:t>格书，特种作业人员持证情况见表2-28。特种作业人员资格证书详见附件十三。</w:t>
      </w:r>
    </w:p>
    <w:p>
      <w:pPr>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表2-28特种作业人员持证情况</w:t>
      </w:r>
    </w:p>
    <w:tbl>
      <w:tblPr>
        <w:tblStyle w:val="52"/>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101"/>
        <w:gridCol w:w="2169"/>
        <w:gridCol w:w="3129"/>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jc w:val="center"/>
        </w:trPr>
        <w:tc>
          <w:tcPr>
            <w:tcW w:w="811" w:type="dxa"/>
            <w:noWrap/>
            <w:tcMar>
              <w:left w:w="28" w:type="dxa"/>
              <w:right w:w="28" w:type="dxa"/>
            </w:tcMar>
            <w:vAlign w:val="center"/>
          </w:tcPr>
          <w:p>
            <w:pPr>
              <w:snapToGrid w:val="0"/>
              <w:jc w:val="center"/>
              <w:rPr>
                <w:rFonts w:ascii="宋体" w:hAnsi="宋体"/>
                <w:b/>
                <w:szCs w:val="21"/>
              </w:rPr>
            </w:pPr>
            <w:r>
              <w:rPr>
                <w:rFonts w:hint="eastAsia" w:ascii="宋体" w:hAnsi="宋体"/>
                <w:b/>
                <w:szCs w:val="21"/>
              </w:rPr>
              <w:t>序号</w:t>
            </w:r>
          </w:p>
        </w:tc>
        <w:tc>
          <w:tcPr>
            <w:tcW w:w="1101" w:type="dxa"/>
            <w:noWrap/>
            <w:tcMar>
              <w:left w:w="28" w:type="dxa"/>
              <w:right w:w="28" w:type="dxa"/>
            </w:tcMar>
            <w:vAlign w:val="center"/>
          </w:tcPr>
          <w:p>
            <w:pPr>
              <w:snapToGrid w:val="0"/>
              <w:jc w:val="center"/>
              <w:rPr>
                <w:rFonts w:ascii="宋体" w:hAnsi="宋体"/>
                <w:b/>
                <w:szCs w:val="21"/>
              </w:rPr>
            </w:pPr>
            <w:r>
              <w:rPr>
                <w:rFonts w:hint="eastAsia" w:ascii="宋体" w:hAnsi="宋体"/>
                <w:b/>
                <w:szCs w:val="21"/>
              </w:rPr>
              <w:t>姓名</w:t>
            </w:r>
          </w:p>
        </w:tc>
        <w:tc>
          <w:tcPr>
            <w:tcW w:w="2169" w:type="dxa"/>
            <w:noWrap/>
            <w:tcMar>
              <w:left w:w="28" w:type="dxa"/>
              <w:right w:w="28" w:type="dxa"/>
            </w:tcMar>
            <w:vAlign w:val="center"/>
          </w:tcPr>
          <w:p>
            <w:pPr>
              <w:snapToGrid w:val="0"/>
              <w:jc w:val="center"/>
              <w:rPr>
                <w:rFonts w:ascii="宋体" w:hAnsi="宋体"/>
                <w:b/>
                <w:szCs w:val="21"/>
              </w:rPr>
            </w:pPr>
            <w:r>
              <w:rPr>
                <w:rFonts w:hint="eastAsia" w:ascii="宋体" w:hAnsi="宋体"/>
                <w:b/>
                <w:szCs w:val="21"/>
              </w:rPr>
              <w:t>工种</w:t>
            </w:r>
          </w:p>
        </w:tc>
        <w:tc>
          <w:tcPr>
            <w:tcW w:w="3129" w:type="dxa"/>
            <w:noWrap/>
            <w:tcMar>
              <w:left w:w="28" w:type="dxa"/>
              <w:right w:w="28" w:type="dxa"/>
            </w:tcMar>
            <w:vAlign w:val="center"/>
          </w:tcPr>
          <w:p>
            <w:pPr>
              <w:snapToGrid w:val="0"/>
              <w:jc w:val="center"/>
              <w:rPr>
                <w:rFonts w:ascii="宋体" w:hAnsi="宋体"/>
                <w:b/>
                <w:szCs w:val="21"/>
              </w:rPr>
            </w:pPr>
            <w:r>
              <w:rPr>
                <w:rFonts w:hint="eastAsia" w:ascii="宋体" w:hAnsi="宋体"/>
                <w:b/>
                <w:szCs w:val="21"/>
              </w:rPr>
              <w:t>证号</w:t>
            </w:r>
          </w:p>
        </w:tc>
        <w:tc>
          <w:tcPr>
            <w:tcW w:w="1848" w:type="dxa"/>
            <w:noWrap/>
            <w:tcMar>
              <w:left w:w="28" w:type="dxa"/>
              <w:right w:w="28" w:type="dxa"/>
            </w:tcMar>
            <w:vAlign w:val="center"/>
          </w:tcPr>
          <w:p>
            <w:pPr>
              <w:snapToGrid w:val="0"/>
              <w:jc w:val="center"/>
              <w:rPr>
                <w:rFonts w:ascii="宋体" w:hAnsi="宋体"/>
                <w:b/>
                <w:szCs w:val="21"/>
              </w:rPr>
            </w:pPr>
            <w:r>
              <w:rPr>
                <w:rFonts w:hint="eastAsia" w:ascii="宋体" w:hAnsi="宋体"/>
                <w:b/>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1</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杨平雷</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叉车</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530125198910132735</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2</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苏  龙</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叉车</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532328198912090315</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3</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朱加臣</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叉车</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532331198409122832</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4</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秦昌</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叉车</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532525198711302512</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5</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张国清</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叉车</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532301199206191113</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6</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刘士稳</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叉车</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530325199301121358</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7</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刘  勇</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电工</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T530112197805010510</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2026.11.25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8</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陈文涛</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电工</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T530322199608072678</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2027.10.18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9</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吕建伟</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电工</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T530402198612080633</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2026.11.10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10</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刘  鹏</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行车</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533024198903040016</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11</w:t>
            </w:r>
          </w:p>
        </w:tc>
        <w:tc>
          <w:tcPr>
            <w:tcW w:w="1101" w:type="dxa"/>
            <w:noWrap/>
            <w:tcMar>
              <w:left w:w="28" w:type="dxa"/>
              <w:right w:w="28" w:type="dxa"/>
            </w:tcMar>
            <w:vAlign w:val="center"/>
          </w:tcPr>
          <w:p>
            <w:pPr>
              <w:snapToGrid w:val="0"/>
              <w:jc w:val="center"/>
              <w:rPr>
                <w:rFonts w:ascii="宋体" w:hAnsi="宋体"/>
                <w:color w:val="auto"/>
                <w:szCs w:val="21"/>
              </w:rPr>
            </w:pPr>
            <w:r>
              <w:rPr>
                <w:rFonts w:hint="eastAsia" w:ascii="宋体" w:hAnsi="宋体"/>
                <w:color w:val="auto"/>
                <w:szCs w:val="21"/>
              </w:rPr>
              <w:t>汪贵羽</w:t>
            </w:r>
          </w:p>
        </w:tc>
        <w:tc>
          <w:tcPr>
            <w:tcW w:w="2169" w:type="dxa"/>
            <w:noWrap/>
            <w:tcMar>
              <w:left w:w="28" w:type="dxa"/>
              <w:right w:w="28" w:type="dxa"/>
            </w:tcMar>
            <w:vAlign w:val="center"/>
          </w:tcPr>
          <w:p>
            <w:pPr>
              <w:snapToGrid w:val="0"/>
              <w:jc w:val="center"/>
              <w:rPr>
                <w:rFonts w:ascii="宋体" w:hAnsi="宋体"/>
                <w:color w:val="auto"/>
                <w:szCs w:val="21"/>
              </w:rPr>
            </w:pPr>
            <w:r>
              <w:rPr>
                <w:rFonts w:hint="eastAsia" w:ascii="宋体" w:hAnsi="宋体"/>
                <w:color w:val="auto"/>
                <w:szCs w:val="21"/>
              </w:rPr>
              <w:t>行车</w:t>
            </w:r>
          </w:p>
        </w:tc>
        <w:tc>
          <w:tcPr>
            <w:tcW w:w="3129" w:type="dxa"/>
            <w:noWrap/>
            <w:tcMar>
              <w:left w:w="28" w:type="dxa"/>
              <w:right w:w="28" w:type="dxa"/>
            </w:tcMar>
            <w:vAlign w:val="center"/>
          </w:tcPr>
          <w:p>
            <w:pPr>
              <w:snapToGrid w:val="0"/>
              <w:jc w:val="center"/>
              <w:rPr>
                <w:rFonts w:ascii="宋体" w:hAnsi="宋体"/>
                <w:color w:val="auto"/>
                <w:szCs w:val="21"/>
              </w:rPr>
            </w:pPr>
            <w:r>
              <w:rPr>
                <w:rFonts w:hint="eastAsia" w:ascii="宋体" w:hAnsi="宋体"/>
                <w:color w:val="auto"/>
                <w:szCs w:val="21"/>
              </w:rPr>
              <w:t>530128199212090914</w:t>
            </w:r>
          </w:p>
        </w:tc>
        <w:tc>
          <w:tcPr>
            <w:tcW w:w="1848" w:type="dxa"/>
            <w:noWrap/>
            <w:tcMar>
              <w:left w:w="28" w:type="dxa"/>
              <w:right w:w="28" w:type="dxa"/>
            </w:tcMar>
            <w:vAlign w:val="center"/>
          </w:tcPr>
          <w:p>
            <w:pPr>
              <w:snapToGrid w:val="0"/>
              <w:jc w:val="center"/>
              <w:rPr>
                <w:rFonts w:hint="default" w:ascii="宋体" w:hAnsi="宋体" w:eastAsia="宋体"/>
                <w:szCs w:val="21"/>
                <w:lang w:val="en-US" w:eastAsia="zh-CN"/>
              </w:rPr>
            </w:pPr>
            <w:r>
              <w:rPr>
                <w:rFonts w:hint="eastAsia" w:ascii="宋体" w:hAnsi="宋体"/>
                <w:szCs w:val="21"/>
                <w:lang w:val="en-US" w:eastAsia="zh-CN"/>
              </w:rPr>
              <w:t>2027.11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12</w:t>
            </w:r>
          </w:p>
        </w:tc>
        <w:tc>
          <w:tcPr>
            <w:tcW w:w="1101" w:type="dxa"/>
            <w:noWrap/>
            <w:tcMar>
              <w:left w:w="28" w:type="dxa"/>
              <w:right w:w="28" w:type="dxa"/>
            </w:tcMar>
            <w:vAlign w:val="center"/>
          </w:tcPr>
          <w:p>
            <w:pPr>
              <w:snapToGrid w:val="0"/>
              <w:jc w:val="center"/>
              <w:rPr>
                <w:rFonts w:ascii="宋体" w:hAnsi="宋体"/>
                <w:color w:val="auto"/>
                <w:szCs w:val="21"/>
              </w:rPr>
            </w:pPr>
            <w:r>
              <w:rPr>
                <w:rFonts w:hint="eastAsia" w:ascii="宋体" w:hAnsi="宋体"/>
                <w:color w:val="auto"/>
                <w:szCs w:val="21"/>
              </w:rPr>
              <w:t>李恩贵</w:t>
            </w:r>
          </w:p>
        </w:tc>
        <w:tc>
          <w:tcPr>
            <w:tcW w:w="2169" w:type="dxa"/>
            <w:noWrap/>
            <w:tcMar>
              <w:left w:w="28" w:type="dxa"/>
              <w:right w:w="28" w:type="dxa"/>
            </w:tcMar>
            <w:vAlign w:val="center"/>
          </w:tcPr>
          <w:p>
            <w:pPr>
              <w:snapToGrid w:val="0"/>
              <w:jc w:val="center"/>
              <w:rPr>
                <w:rFonts w:ascii="宋体" w:hAnsi="宋体"/>
                <w:color w:val="auto"/>
                <w:szCs w:val="21"/>
              </w:rPr>
            </w:pPr>
            <w:r>
              <w:rPr>
                <w:rFonts w:hint="eastAsia" w:ascii="宋体" w:hAnsi="宋体"/>
                <w:color w:val="auto"/>
                <w:szCs w:val="21"/>
              </w:rPr>
              <w:t>行车</w:t>
            </w:r>
          </w:p>
        </w:tc>
        <w:tc>
          <w:tcPr>
            <w:tcW w:w="3129" w:type="dxa"/>
            <w:noWrap/>
            <w:tcMar>
              <w:left w:w="28" w:type="dxa"/>
              <w:right w:w="28" w:type="dxa"/>
            </w:tcMar>
            <w:vAlign w:val="center"/>
          </w:tcPr>
          <w:p>
            <w:pPr>
              <w:snapToGrid w:val="0"/>
              <w:jc w:val="center"/>
              <w:rPr>
                <w:rFonts w:ascii="宋体" w:hAnsi="宋体"/>
                <w:color w:val="auto"/>
                <w:szCs w:val="21"/>
              </w:rPr>
            </w:pPr>
            <w:r>
              <w:rPr>
                <w:rFonts w:hint="eastAsia" w:ascii="宋体" w:hAnsi="宋体"/>
                <w:color w:val="auto"/>
                <w:szCs w:val="21"/>
              </w:rPr>
              <w:t>530326199310071731</w:t>
            </w:r>
          </w:p>
        </w:tc>
        <w:tc>
          <w:tcPr>
            <w:tcW w:w="1848" w:type="dxa"/>
            <w:noWrap/>
            <w:tcMar>
              <w:left w:w="28" w:type="dxa"/>
              <w:right w:w="28" w:type="dxa"/>
            </w:tcMar>
            <w:vAlign w:val="center"/>
          </w:tcPr>
          <w:p>
            <w:pPr>
              <w:snapToGrid w:val="0"/>
              <w:jc w:val="center"/>
              <w:rPr>
                <w:rFonts w:hint="default" w:ascii="宋体" w:hAnsi="宋体" w:eastAsia="宋体"/>
                <w:szCs w:val="21"/>
                <w:lang w:val="en-US" w:eastAsia="zh-CN"/>
              </w:rPr>
            </w:pPr>
            <w:r>
              <w:rPr>
                <w:rFonts w:hint="eastAsia" w:ascii="宋体" w:hAnsi="宋体"/>
                <w:szCs w:val="21"/>
                <w:lang w:val="en-US" w:eastAsia="zh-CN"/>
              </w:rPr>
              <w:t>2027.11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13</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毛  平</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高处作业</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T530111197804150419</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2024.9.13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811" w:type="dxa"/>
            <w:noWrap/>
            <w:tcMar>
              <w:left w:w="28" w:type="dxa"/>
              <w:right w:w="28" w:type="dxa"/>
            </w:tcMar>
            <w:vAlign w:val="center"/>
          </w:tcPr>
          <w:p>
            <w:pPr>
              <w:snapToGrid w:val="0"/>
              <w:jc w:val="center"/>
              <w:rPr>
                <w:rFonts w:ascii="宋体" w:hAnsi="宋体"/>
                <w:szCs w:val="21"/>
              </w:rPr>
            </w:pPr>
            <w:r>
              <w:rPr>
                <w:rFonts w:hint="eastAsia" w:ascii="宋体" w:hAnsi="宋体"/>
                <w:szCs w:val="21"/>
              </w:rPr>
              <w:t>14</w:t>
            </w:r>
          </w:p>
        </w:tc>
        <w:tc>
          <w:tcPr>
            <w:tcW w:w="1101" w:type="dxa"/>
            <w:noWrap/>
            <w:tcMar>
              <w:left w:w="28" w:type="dxa"/>
              <w:right w:w="28" w:type="dxa"/>
            </w:tcMar>
            <w:vAlign w:val="center"/>
          </w:tcPr>
          <w:p>
            <w:pPr>
              <w:snapToGrid w:val="0"/>
              <w:jc w:val="center"/>
              <w:rPr>
                <w:rFonts w:ascii="宋体" w:hAnsi="宋体"/>
                <w:szCs w:val="21"/>
              </w:rPr>
            </w:pPr>
            <w:r>
              <w:rPr>
                <w:rFonts w:hint="eastAsia" w:ascii="宋体" w:hAnsi="宋体"/>
                <w:szCs w:val="21"/>
              </w:rPr>
              <w:t>刘  勇</w:t>
            </w:r>
          </w:p>
        </w:tc>
        <w:tc>
          <w:tcPr>
            <w:tcW w:w="2169" w:type="dxa"/>
            <w:noWrap/>
            <w:tcMar>
              <w:left w:w="28" w:type="dxa"/>
              <w:right w:w="28" w:type="dxa"/>
            </w:tcMar>
            <w:vAlign w:val="center"/>
          </w:tcPr>
          <w:p>
            <w:pPr>
              <w:snapToGrid w:val="0"/>
              <w:jc w:val="center"/>
              <w:rPr>
                <w:rFonts w:ascii="宋体" w:hAnsi="宋体"/>
                <w:szCs w:val="21"/>
              </w:rPr>
            </w:pPr>
            <w:r>
              <w:rPr>
                <w:rFonts w:hint="eastAsia" w:ascii="宋体" w:hAnsi="宋体"/>
                <w:szCs w:val="21"/>
              </w:rPr>
              <w:t>高处作业</w:t>
            </w:r>
          </w:p>
        </w:tc>
        <w:tc>
          <w:tcPr>
            <w:tcW w:w="3129" w:type="dxa"/>
            <w:noWrap/>
            <w:tcMar>
              <w:left w:w="28" w:type="dxa"/>
              <w:right w:w="28" w:type="dxa"/>
            </w:tcMar>
            <w:vAlign w:val="center"/>
          </w:tcPr>
          <w:p>
            <w:pPr>
              <w:snapToGrid w:val="0"/>
              <w:jc w:val="center"/>
              <w:rPr>
                <w:rFonts w:ascii="宋体" w:hAnsi="宋体"/>
                <w:szCs w:val="21"/>
              </w:rPr>
            </w:pPr>
            <w:r>
              <w:rPr>
                <w:rFonts w:hint="eastAsia" w:ascii="宋体" w:hAnsi="宋体"/>
                <w:szCs w:val="21"/>
              </w:rPr>
              <w:t>T530112197805010510</w:t>
            </w:r>
          </w:p>
        </w:tc>
        <w:tc>
          <w:tcPr>
            <w:tcW w:w="1848" w:type="dxa"/>
            <w:noWrap/>
            <w:tcMar>
              <w:left w:w="28" w:type="dxa"/>
              <w:right w:w="28" w:type="dxa"/>
            </w:tcMar>
            <w:vAlign w:val="center"/>
          </w:tcPr>
          <w:p>
            <w:pPr>
              <w:snapToGrid w:val="0"/>
              <w:jc w:val="center"/>
              <w:rPr>
                <w:rFonts w:ascii="宋体" w:hAnsi="宋体"/>
                <w:szCs w:val="21"/>
              </w:rPr>
            </w:pPr>
            <w:r>
              <w:rPr>
                <w:rFonts w:hint="eastAsia" w:ascii="宋体" w:hAnsi="宋体"/>
                <w:szCs w:val="21"/>
              </w:rPr>
              <w:t>2024.9.13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11" w:type="dxa"/>
            <w:noWrap/>
            <w:tcMar>
              <w:left w:w="28" w:type="dxa"/>
              <w:right w:w="28" w:type="dxa"/>
            </w:tcMar>
            <w:vAlign w:val="center"/>
          </w:tcPr>
          <w:p>
            <w:pPr>
              <w:snapToGri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w:t>
            </w:r>
          </w:p>
        </w:tc>
        <w:tc>
          <w:tcPr>
            <w:tcW w:w="1101" w:type="dxa"/>
            <w:noWrap/>
            <w:tcMar>
              <w:left w:w="28" w:type="dxa"/>
              <w:right w:w="28" w:type="dxa"/>
            </w:tcMar>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解家灿</w:t>
            </w:r>
          </w:p>
        </w:tc>
        <w:tc>
          <w:tcPr>
            <w:tcW w:w="2169" w:type="dxa"/>
            <w:noWrap/>
            <w:tcMar>
              <w:left w:w="28" w:type="dxa"/>
              <w:right w:w="28" w:type="dxa"/>
            </w:tcMar>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压力容器操作</w:t>
            </w:r>
          </w:p>
        </w:tc>
        <w:tc>
          <w:tcPr>
            <w:tcW w:w="3129" w:type="dxa"/>
            <w:noWrap/>
            <w:tcMar>
              <w:left w:w="28" w:type="dxa"/>
              <w:right w:w="28" w:type="dxa"/>
            </w:tcMar>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530328199608223315</w:t>
            </w:r>
          </w:p>
        </w:tc>
        <w:tc>
          <w:tcPr>
            <w:tcW w:w="1848" w:type="dxa"/>
            <w:noWrap/>
            <w:tcMar>
              <w:left w:w="28" w:type="dxa"/>
              <w:right w:w="28" w:type="dxa"/>
            </w:tcMar>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2025.1</w:t>
            </w:r>
          </w:p>
        </w:tc>
      </w:tr>
    </w:tbl>
    <w:p>
      <w:pPr>
        <w:snapToGrid w:val="0"/>
      </w:pPr>
      <w:bookmarkStart w:id="264" w:name="_Toc10509"/>
    </w:p>
    <w:p>
      <w:pPr>
        <w:pStyle w:val="5"/>
        <w:keepNext w:val="0"/>
        <w:keepLines w:val="0"/>
        <w:snapToGrid w:val="0"/>
        <w:spacing w:before="0" w:after="0" w:line="360" w:lineRule="auto"/>
        <w:jc w:val="left"/>
        <w:rPr>
          <w:rFonts w:ascii="宋体" w:hAnsi="宋体" w:cs="宋体"/>
          <w:sz w:val="28"/>
          <w:szCs w:val="28"/>
        </w:rPr>
      </w:pPr>
      <w:bookmarkStart w:id="265" w:name="_Toc4385"/>
      <w:r>
        <w:rPr>
          <w:rFonts w:hint="eastAsia" w:ascii="宋体" w:hAnsi="宋体" w:cs="宋体"/>
          <w:sz w:val="28"/>
          <w:szCs w:val="28"/>
        </w:rPr>
        <w:t>2.11.7 劳动防护用品</w:t>
      </w:r>
      <w:bookmarkEnd w:id="264"/>
      <w:bookmarkEnd w:id="265"/>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昆明云内动力股份有限公司根据各个作业岗位的特点,定期发放各种劳动保护用品，发放的劳动用品主要有劳保服、防砸鞋、手套、防尘帽、安全帽、防尘口罩、耳塞等。</w:t>
      </w:r>
    </w:p>
    <w:p>
      <w:pPr>
        <w:pStyle w:val="5"/>
        <w:keepNext w:val="0"/>
        <w:keepLines w:val="0"/>
        <w:snapToGrid w:val="0"/>
        <w:spacing w:before="0" w:after="0" w:line="360" w:lineRule="auto"/>
        <w:jc w:val="left"/>
        <w:rPr>
          <w:rFonts w:ascii="宋体" w:hAnsi="宋体" w:cs="宋体"/>
          <w:sz w:val="28"/>
          <w:szCs w:val="28"/>
        </w:rPr>
      </w:pPr>
      <w:bookmarkStart w:id="266" w:name="_Toc3832"/>
      <w:bookmarkStart w:id="267" w:name="_Toc24229"/>
      <w:r>
        <w:rPr>
          <w:rFonts w:hint="eastAsia" w:ascii="宋体" w:hAnsi="宋体" w:cs="宋体"/>
          <w:sz w:val="28"/>
          <w:szCs w:val="28"/>
        </w:rPr>
        <w:t>2.11.8 工伤保险</w:t>
      </w:r>
      <w:bookmarkEnd w:id="266"/>
      <w:bookmarkEnd w:id="267"/>
    </w:p>
    <w:p>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企业为员工办理了工伤保险。工伤保险缴纳凭证详见附件十八。</w:t>
      </w:r>
    </w:p>
    <w:p>
      <w:pPr>
        <w:pStyle w:val="5"/>
        <w:keepNext w:val="0"/>
        <w:keepLines w:val="0"/>
        <w:snapToGrid w:val="0"/>
        <w:spacing w:before="0" w:after="0" w:line="360" w:lineRule="auto"/>
        <w:jc w:val="left"/>
        <w:rPr>
          <w:rFonts w:hint="eastAsia" w:ascii="宋体" w:hAnsi="宋体" w:eastAsia="宋体" w:cs="宋体"/>
          <w:sz w:val="28"/>
          <w:szCs w:val="28"/>
          <w:lang w:val="en-US" w:eastAsia="zh-CN"/>
        </w:rPr>
      </w:pPr>
      <w:bookmarkStart w:id="268" w:name="_Toc30867"/>
      <w:r>
        <w:rPr>
          <w:rFonts w:hint="eastAsia" w:ascii="宋体" w:hAnsi="宋体" w:eastAsia="宋体" w:cs="宋体"/>
          <w:sz w:val="28"/>
          <w:szCs w:val="28"/>
          <w:lang w:val="en-US" w:eastAsia="zh-CN"/>
        </w:rPr>
        <w:t>2.11.9 有限空间开展情况</w:t>
      </w:r>
      <w:bookmarkEnd w:id="268"/>
    </w:p>
    <w:p>
      <w:pPr>
        <w:adjustRightInd w:val="0"/>
        <w:snapToGrid w:val="0"/>
        <w:spacing w:line="360" w:lineRule="auto"/>
        <w:ind w:firstLine="560" w:firstLineChars="200"/>
        <w:rPr>
          <w:rFonts w:hint="default" w:ascii="宋体" w:hAnsi="宋体" w:eastAsia="宋体"/>
          <w:sz w:val="28"/>
          <w:szCs w:val="28"/>
          <w:lang w:val="en-US" w:eastAsia="zh-CN"/>
        </w:rPr>
      </w:pPr>
      <w:r>
        <w:rPr>
          <w:rFonts w:hint="eastAsia" w:ascii="宋体" w:hAnsi="宋体" w:cs="宋体"/>
          <w:snapToGrid w:val="0"/>
          <w:kern w:val="0"/>
          <w:sz w:val="28"/>
          <w:szCs w:val="28"/>
        </w:rPr>
        <w:t>该项目切削液集中处理系统、喷漆室净化设备、地下排污隧（管）道、给排水管道等系统处于有限空间内</w:t>
      </w:r>
      <w:r>
        <w:rPr>
          <w:rFonts w:hint="eastAsia" w:ascii="宋体" w:hAnsi="宋体" w:cs="宋体"/>
          <w:snapToGrid w:val="0"/>
          <w:kern w:val="0"/>
          <w:sz w:val="28"/>
          <w:szCs w:val="28"/>
          <w:lang w:eastAsia="zh-CN"/>
        </w:rPr>
        <w:t>。</w:t>
      </w:r>
      <w:r>
        <w:rPr>
          <w:rFonts w:hint="eastAsia" w:ascii="宋体" w:hAnsi="宋体" w:cs="宋体"/>
          <w:snapToGrid w:val="0"/>
          <w:kern w:val="0"/>
          <w:sz w:val="28"/>
          <w:szCs w:val="28"/>
          <w:lang w:val="en-US" w:eastAsia="zh-CN"/>
        </w:rPr>
        <w:t>企业制订有限空间作业事故现场处置方案，能针对受限空间作业发生的事故进行处理，保证受限空间作业安全有效进行。</w:t>
      </w:r>
    </w:p>
    <w:p>
      <w:pPr>
        <w:pStyle w:val="4"/>
        <w:keepNext w:val="0"/>
        <w:keepLines w:val="0"/>
        <w:snapToGrid w:val="0"/>
        <w:spacing w:before="0" w:after="0" w:line="360" w:lineRule="auto"/>
        <w:jc w:val="left"/>
        <w:rPr>
          <w:rFonts w:ascii="宋体" w:hAnsi="宋体" w:cs="宋体"/>
          <w:snapToGrid/>
          <w:kern w:val="2"/>
        </w:rPr>
      </w:pPr>
      <w:bookmarkStart w:id="269" w:name="_Toc18068"/>
      <w:bookmarkStart w:id="270" w:name="_Toc6226"/>
      <w:r>
        <w:rPr>
          <w:rFonts w:hint="eastAsia" w:ascii="宋体" w:hAnsi="宋体" w:cs="宋体"/>
          <w:snapToGrid/>
          <w:kern w:val="2"/>
        </w:rPr>
        <w:t>2.12</w:t>
      </w:r>
      <w:r>
        <w:rPr>
          <w:rFonts w:hint="eastAsia" w:ascii="宋体" w:hAnsi="宋体" w:cs="宋体"/>
          <w:snapToGrid/>
          <w:kern w:val="2"/>
          <w:lang w:val="en-US" w:eastAsia="zh-CN"/>
        </w:rPr>
        <w:t xml:space="preserve"> </w:t>
      </w:r>
      <w:r>
        <w:rPr>
          <w:rFonts w:hint="eastAsia" w:ascii="宋体" w:hAnsi="宋体" w:cs="宋体"/>
          <w:snapToGrid/>
          <w:kern w:val="2"/>
        </w:rPr>
        <w:t>安全投入</w:t>
      </w:r>
      <w:bookmarkEnd w:id="269"/>
      <w:bookmarkEnd w:id="270"/>
    </w:p>
    <w:p>
      <w:pPr>
        <w:adjustRightInd w:val="0"/>
        <w:snapToGrid w:val="0"/>
        <w:spacing w:line="360" w:lineRule="auto"/>
        <w:ind w:firstLine="560" w:firstLineChars="200"/>
        <w:rPr>
          <w:rFonts w:ascii="宋体" w:hAnsi="宋体" w:cs="楷体_GB2312"/>
          <w:kern w:val="0"/>
          <w:sz w:val="28"/>
          <w:szCs w:val="28"/>
        </w:rPr>
      </w:pPr>
      <w:r>
        <w:rPr>
          <w:rFonts w:hint="eastAsia" w:ascii="宋体" w:hAnsi="宋体"/>
          <w:sz w:val="28"/>
          <w:szCs w:val="28"/>
        </w:rPr>
        <w:t>本项目总投资</w:t>
      </w:r>
      <w:r>
        <w:rPr>
          <w:rFonts w:hint="eastAsia" w:ascii="宋体" w:hAnsi="宋体"/>
          <w:sz w:val="28"/>
          <w:szCs w:val="28"/>
          <w:lang w:val="en-GB"/>
        </w:rPr>
        <w:t>59400</w:t>
      </w:r>
      <w:r>
        <w:rPr>
          <w:rFonts w:hint="eastAsia" w:ascii="宋体" w:hAnsi="宋体"/>
          <w:sz w:val="28"/>
          <w:szCs w:val="28"/>
        </w:rPr>
        <w:t>万元，新增安全设施投资为1782万元，占项目总投资的3%</w:t>
      </w:r>
      <w:r>
        <w:rPr>
          <w:rFonts w:hint="eastAsia" w:ascii="宋体" w:hAnsi="宋体" w:cs="楷体_GB2312"/>
          <w:kern w:val="0"/>
          <w:sz w:val="28"/>
          <w:szCs w:val="28"/>
        </w:rPr>
        <w:t>。</w:t>
      </w:r>
    </w:p>
    <w:p>
      <w:pPr>
        <w:pStyle w:val="4"/>
        <w:keepNext w:val="0"/>
        <w:keepLines w:val="0"/>
        <w:snapToGrid w:val="0"/>
        <w:spacing w:before="0" w:after="0" w:line="360" w:lineRule="auto"/>
        <w:jc w:val="left"/>
        <w:rPr>
          <w:rFonts w:ascii="宋体" w:hAnsi="宋体" w:cs="宋体"/>
          <w:snapToGrid/>
          <w:kern w:val="2"/>
        </w:rPr>
      </w:pPr>
      <w:bookmarkStart w:id="271" w:name="_Toc24458"/>
      <w:bookmarkStart w:id="272" w:name="_Toc56685641"/>
      <w:bookmarkStart w:id="273" w:name="_Toc487575169"/>
      <w:bookmarkStart w:id="274" w:name="_Toc440009067"/>
      <w:bookmarkStart w:id="275" w:name="_Toc527470635"/>
      <w:bookmarkStart w:id="276" w:name="_Toc9729"/>
      <w:bookmarkStart w:id="277" w:name="_Toc502479805"/>
      <w:bookmarkStart w:id="278" w:name="_Toc525114760"/>
      <w:r>
        <w:rPr>
          <w:rFonts w:hint="eastAsia" w:ascii="宋体" w:hAnsi="宋体" w:cs="宋体"/>
          <w:snapToGrid/>
          <w:kern w:val="2"/>
        </w:rPr>
        <w:t>2.13 试生产运行情况</w:t>
      </w:r>
      <w:bookmarkEnd w:id="271"/>
      <w:bookmarkEnd w:id="272"/>
    </w:p>
    <w:p>
      <w:pPr>
        <w:adjustRightInd w:val="0"/>
        <w:snapToGrid w:val="0"/>
        <w:spacing w:line="360" w:lineRule="auto"/>
        <w:ind w:firstLine="425"/>
        <w:rPr>
          <w:rFonts w:ascii="宋体" w:hAnsi="宋体"/>
          <w:sz w:val="28"/>
          <w:szCs w:val="28"/>
        </w:rPr>
      </w:pPr>
      <w:r>
        <w:rPr>
          <w:rFonts w:hint="eastAsia" w:ascii="宋体" w:hAnsi="宋体"/>
          <w:sz w:val="28"/>
          <w:szCs w:val="28"/>
        </w:rPr>
        <w:t>一、</w:t>
      </w:r>
      <w:bookmarkStart w:id="279" w:name="_Toc24925924"/>
      <w:bookmarkStart w:id="280" w:name="_Toc26027650"/>
      <w:r>
        <w:rPr>
          <w:rFonts w:hint="eastAsia" w:ascii="宋体" w:hAnsi="宋体"/>
          <w:sz w:val="28"/>
          <w:szCs w:val="28"/>
        </w:rPr>
        <w:t>试生产期间安全设施运行情况</w:t>
      </w:r>
      <w:bookmarkEnd w:id="279"/>
      <w:bookmarkEnd w:id="280"/>
    </w:p>
    <w:p>
      <w:pPr>
        <w:adjustRightInd w:val="0"/>
        <w:snapToGrid w:val="0"/>
        <w:spacing w:line="360" w:lineRule="auto"/>
        <w:ind w:firstLine="560" w:firstLineChars="200"/>
        <w:rPr>
          <w:rFonts w:ascii="宋体" w:hAnsi="宋体"/>
          <w:color w:val="auto"/>
          <w:sz w:val="28"/>
          <w:szCs w:val="28"/>
        </w:rPr>
      </w:pPr>
      <w:r>
        <w:rPr>
          <w:rFonts w:hint="eastAsia" w:ascii="宋体" w:hAnsi="宋体"/>
          <w:color w:val="auto"/>
          <w:sz w:val="28"/>
          <w:szCs w:val="28"/>
        </w:rPr>
        <w:t>昆明云内动力股份有限公司G系列节能环保轻型商用车汽油机产业化建设项目于2021年9月16日至2021年10月26日进行了试生产，在试生产期间，设备、工艺状况良好，安全设施运行正常，各项指标达到设计、产品合格，试生产期间未发生人员伤亡事故，试生产过程中出现的各种问题均得到了有效的整改。</w:t>
      </w:r>
    </w:p>
    <w:p>
      <w:pPr>
        <w:adjustRightInd w:val="0"/>
        <w:snapToGrid w:val="0"/>
        <w:spacing w:line="360" w:lineRule="auto"/>
        <w:ind w:firstLine="425"/>
        <w:rPr>
          <w:rFonts w:ascii="宋体" w:hAnsi="宋体"/>
          <w:sz w:val="28"/>
          <w:szCs w:val="28"/>
        </w:rPr>
      </w:pPr>
      <w:r>
        <w:rPr>
          <w:rFonts w:hint="eastAsia" w:ascii="宋体" w:hAnsi="宋体"/>
          <w:sz w:val="28"/>
          <w:szCs w:val="28"/>
        </w:rPr>
        <w:t>二、试生产情况</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从整个试生产期间装置的运行情况分析，试生产期间装置工艺控制稳定，主要设备运行正常。实际运行的工艺参数基本在工艺规程制定的工艺指标范围内，个别有差异的工艺控制指标在开车过程中已做调整，并对工艺规程制定的工艺指标进行了修订。试生产期间人员组织和操作有序，未出现人员安全事故和设备事故。工艺技术和装备、产品质量和环保指标均达到预期的效果。</w:t>
      </w:r>
    </w:p>
    <w:p>
      <w:pPr>
        <w:numPr>
          <w:ilvl w:val="0"/>
          <w:numId w:val="7"/>
        </w:numPr>
        <w:adjustRightInd w:val="0"/>
        <w:snapToGrid w:val="0"/>
        <w:spacing w:line="360" w:lineRule="auto"/>
        <w:ind w:firstLine="482"/>
        <w:rPr>
          <w:rFonts w:ascii="宋体" w:hAnsi="宋体"/>
          <w:sz w:val="28"/>
          <w:szCs w:val="28"/>
        </w:rPr>
      </w:pPr>
      <w:bookmarkStart w:id="281" w:name="_Toc24925922"/>
      <w:bookmarkStart w:id="282" w:name="_Toc26027648"/>
      <w:bookmarkStart w:id="283" w:name="_Hlk21441837"/>
      <w:r>
        <w:rPr>
          <w:rFonts w:hint="eastAsia" w:ascii="宋体" w:hAnsi="宋体"/>
          <w:sz w:val="28"/>
          <w:szCs w:val="28"/>
        </w:rPr>
        <w:t>安全设施调试情况</w:t>
      </w:r>
      <w:bookmarkEnd w:id="281"/>
      <w:bookmarkEnd w:id="282"/>
      <w:bookmarkEnd w:id="283"/>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建设项目所涉及的安全设施均选用正规厂家的合格产品，出厂前均经厂家测试合格，现场安装后由昆明云内动力股份有限</w:t>
      </w:r>
      <w:r>
        <w:rPr>
          <w:rFonts w:hint="eastAsia"/>
          <w:bCs/>
          <w:sz w:val="28"/>
          <w:szCs w:val="28"/>
        </w:rPr>
        <w:t>公司设备动力部</w:t>
      </w:r>
      <w:r>
        <w:rPr>
          <w:rFonts w:hint="eastAsia" w:ascii="宋体" w:hAnsi="宋体"/>
          <w:sz w:val="28"/>
          <w:szCs w:val="28"/>
        </w:rPr>
        <w:t>会同设备厂家进行了检验及调试，达到安全及工艺控制的精度要求。</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在施工时按“三同时”要求同时进行施工，并与主体装置同时投入运行，在装置试生产前，由设备厂家及昆明云内动力股份有限公司设备动力部进行了检验检查，所设置的常规防护设施能满足安全运行要求。</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项目防雷装置由吉林省宇泰安全技术服务有限公司进行了检测，并出具《防雷（静电）装置检测报告》，结论为被检测设备设施符合国家相关防雷规范标准要求，防雷装置安全检测报告在有效期内。</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企业对生产操作员工配发了个人劳动防护用品，并严格要求上岗员工正确穿戴，符合安全规范要求。</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项目安全设施施工完成后，业主单位组织相关单位、人员对设备系统进行了调试，调试结果能满足标准和实际运行需要。</w:t>
      </w:r>
    </w:p>
    <w:bookmarkEnd w:id="273"/>
    <w:bookmarkEnd w:id="274"/>
    <w:bookmarkEnd w:id="275"/>
    <w:bookmarkEnd w:id="276"/>
    <w:bookmarkEnd w:id="277"/>
    <w:bookmarkEnd w:id="278"/>
    <w:p>
      <w:pPr>
        <w:pStyle w:val="4"/>
        <w:keepNext w:val="0"/>
        <w:keepLines w:val="0"/>
        <w:snapToGrid w:val="0"/>
        <w:spacing w:before="0" w:after="0" w:line="360" w:lineRule="auto"/>
        <w:jc w:val="left"/>
        <w:rPr>
          <w:rFonts w:ascii="楷体" w:hAnsi="楷体" w:eastAsia="楷体" w:cs="楷体"/>
          <w:snapToGrid/>
          <w:kern w:val="2"/>
        </w:rPr>
      </w:pPr>
      <w:bookmarkStart w:id="284" w:name="_Toc56685642"/>
      <w:bookmarkStart w:id="285" w:name="_Toc24939"/>
      <w:bookmarkStart w:id="286" w:name="_Toc428"/>
      <w:r>
        <w:rPr>
          <w:rFonts w:hint="eastAsia" w:ascii="楷体" w:hAnsi="楷体" w:eastAsia="楷体" w:cs="楷体"/>
          <w:snapToGrid/>
          <w:kern w:val="2"/>
        </w:rPr>
        <w:t>2.14 项目变更情况</w:t>
      </w:r>
      <w:bookmarkEnd w:id="284"/>
      <w:bookmarkEnd w:id="285"/>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本项目按照设计进行建设，无重大变更。</w:t>
      </w:r>
    </w:p>
    <w:p>
      <w:pPr>
        <w:pStyle w:val="4"/>
        <w:keepNext w:val="0"/>
        <w:keepLines w:val="0"/>
        <w:snapToGrid w:val="0"/>
        <w:spacing w:before="0" w:after="0" w:line="360" w:lineRule="auto"/>
        <w:jc w:val="left"/>
        <w:rPr>
          <w:rFonts w:ascii="楷体" w:hAnsi="楷体" w:eastAsia="楷体" w:cs="楷体"/>
          <w:snapToGrid/>
          <w:kern w:val="2"/>
        </w:rPr>
      </w:pPr>
      <w:bookmarkStart w:id="287" w:name="_Toc13423"/>
      <w:r>
        <w:rPr>
          <w:rFonts w:hint="eastAsia" w:ascii="楷体" w:hAnsi="楷体" w:eastAsia="楷体" w:cs="楷体"/>
          <w:snapToGrid/>
          <w:kern w:val="2"/>
        </w:rPr>
        <w:t>2.15</w:t>
      </w:r>
      <w:r>
        <w:rPr>
          <w:rFonts w:hint="eastAsia" w:ascii="楷体" w:hAnsi="楷体" w:eastAsia="楷体" w:cs="楷体"/>
          <w:snapToGrid/>
          <w:kern w:val="2"/>
          <w:lang w:val="en-US" w:eastAsia="zh-CN"/>
        </w:rPr>
        <w:t xml:space="preserve"> </w:t>
      </w:r>
      <w:r>
        <w:rPr>
          <w:rFonts w:hint="eastAsia" w:ascii="楷体" w:hAnsi="楷体" w:eastAsia="楷体" w:cs="楷体"/>
          <w:snapToGrid/>
          <w:kern w:val="2"/>
        </w:rPr>
        <w:t>现场照片</w:t>
      </w:r>
      <w:bookmarkEnd w:id="286"/>
      <w:bookmarkEnd w:id="287"/>
    </w:p>
    <w:tbl>
      <w:tblPr>
        <w:tblStyle w:val="5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5"/>
        <w:gridCol w:w="5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6" w:hRule="atLeast"/>
          <w:jc w:val="center"/>
        </w:trPr>
        <w:tc>
          <w:tcPr>
            <w:tcW w:w="4825" w:type="dxa"/>
            <w:noWrap/>
            <w:vAlign w:val="center"/>
          </w:tcPr>
          <w:p>
            <w:pPr>
              <w:jc w:val="center"/>
              <w:rPr>
                <w:rFonts w:ascii="宋体" w:hAnsi="宋体"/>
              </w:rPr>
            </w:pPr>
            <w:r>
              <w:rPr>
                <w:rFonts w:hint="eastAsia" w:ascii="宋体" w:hAnsi="宋体"/>
              </w:rPr>
              <w:drawing>
                <wp:inline distT="0" distB="0" distL="114300" distR="114300">
                  <wp:extent cx="2959735" cy="2269490"/>
                  <wp:effectExtent l="0" t="0" r="12065" b="16510"/>
                  <wp:docPr id="64" name="图片 64" descr="C:\Users\LENOVO\Desktop\云内动力\云内动力现场照片\IMG_20221027_115423.jpgIMG_20221027_1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LENOVO\Desktop\云内动力\云内动力现场照片\IMG_20221027_115423.jpgIMG_20221027_115423"/>
                          <pic:cNvPicPr>
                            <a:picLocks noChangeAspect="1"/>
                          </pic:cNvPicPr>
                        </pic:nvPicPr>
                        <pic:blipFill>
                          <a:blip r:embed="rId17"/>
                          <a:stretch>
                            <a:fillRect/>
                          </a:stretch>
                        </pic:blipFill>
                        <pic:spPr>
                          <a:xfrm>
                            <a:off x="0" y="0"/>
                            <a:ext cx="2959735" cy="2269490"/>
                          </a:xfrm>
                          <a:prstGeom prst="rect">
                            <a:avLst/>
                          </a:prstGeom>
                        </pic:spPr>
                      </pic:pic>
                    </a:graphicData>
                  </a:graphic>
                </wp:inline>
              </w:drawing>
            </w:r>
          </w:p>
        </w:tc>
        <w:tc>
          <w:tcPr>
            <w:tcW w:w="5029" w:type="dxa"/>
            <w:noWrap/>
            <w:vAlign w:val="center"/>
          </w:tcPr>
          <w:p>
            <w:pPr>
              <w:jc w:val="center"/>
              <w:rPr>
                <w:rFonts w:ascii="宋体" w:hAnsi="宋体"/>
              </w:rPr>
            </w:pPr>
            <w:r>
              <w:rPr>
                <w:rFonts w:hint="eastAsia" w:ascii="宋体" w:hAnsi="宋体"/>
              </w:rPr>
              <w:drawing>
                <wp:inline distT="0" distB="0" distL="114300" distR="114300">
                  <wp:extent cx="3042920" cy="2282190"/>
                  <wp:effectExtent l="0" t="0" r="5080" b="3810"/>
                  <wp:docPr id="65" name="图片 65" descr="C:\Users\LENOVO\Desktop\云内动力\云内动力现场照片\IMG_20221027_094403.jpgIMG_20221027_09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LENOVO\Desktop\云内动力\云内动力现场照片\IMG_20221027_094403.jpgIMG_20221027_094403"/>
                          <pic:cNvPicPr>
                            <a:picLocks noChangeAspect="1"/>
                          </pic:cNvPicPr>
                        </pic:nvPicPr>
                        <pic:blipFill>
                          <a:blip r:embed="rId18"/>
                          <a:stretch>
                            <a:fillRect/>
                          </a:stretch>
                        </pic:blipFill>
                        <pic:spPr>
                          <a:xfrm>
                            <a:off x="0" y="0"/>
                            <a:ext cx="3042920" cy="2282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825" w:type="dxa"/>
            <w:noWrap/>
            <w:vAlign w:val="center"/>
          </w:tcPr>
          <w:p>
            <w:pPr>
              <w:jc w:val="center"/>
              <w:rPr>
                <w:rFonts w:ascii="宋体" w:hAnsi="宋体"/>
                <w:color w:val="FF0000"/>
                <w:szCs w:val="21"/>
              </w:rPr>
            </w:pPr>
            <w:r>
              <w:rPr>
                <w:rFonts w:ascii="宋体" w:hAnsi="宋体"/>
                <w:kern w:val="0"/>
                <w:sz w:val="24"/>
              </w:rPr>
              <w:t>运输机器人</w:t>
            </w:r>
          </w:p>
        </w:tc>
        <w:tc>
          <w:tcPr>
            <w:tcW w:w="5029" w:type="dxa"/>
            <w:noWrap/>
            <w:vAlign w:val="center"/>
          </w:tcPr>
          <w:p>
            <w:pPr>
              <w:jc w:val="center"/>
              <w:rPr>
                <w:rFonts w:ascii="宋体" w:hAnsi="宋体"/>
                <w:color w:val="FF0000"/>
                <w:szCs w:val="21"/>
              </w:rPr>
            </w:pPr>
            <w:r>
              <w:rPr>
                <w:rFonts w:hint="eastAsia" w:ascii="宋体" w:hAnsi="宋体"/>
                <w:szCs w:val="21"/>
              </w:rPr>
              <w:t>机器人修毛刺系统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4825" w:type="dxa"/>
            <w:noWrap/>
            <w:vAlign w:val="center"/>
          </w:tcPr>
          <w:p>
            <w:pPr>
              <w:jc w:val="center"/>
              <w:rPr>
                <w:rFonts w:ascii="宋体" w:hAnsi="宋体"/>
              </w:rPr>
            </w:pPr>
            <w:r>
              <w:rPr>
                <w:rFonts w:hint="eastAsia" w:ascii="宋体" w:hAnsi="宋体"/>
              </w:rPr>
              <w:drawing>
                <wp:inline distT="0" distB="0" distL="114300" distR="114300">
                  <wp:extent cx="2912745" cy="2185035"/>
                  <wp:effectExtent l="0" t="0" r="1905" b="5715"/>
                  <wp:docPr id="66" name="图片 66" descr="C:\Users\LENOVO\Desktop\云内动力\云内动力现场照片\IMG_20221027_130218.jpgIMG_20221027_13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LENOVO\Desktop\云内动力\云内动力现场照片\IMG_20221027_130218.jpgIMG_20221027_130218"/>
                          <pic:cNvPicPr>
                            <a:picLocks noChangeAspect="1"/>
                          </pic:cNvPicPr>
                        </pic:nvPicPr>
                        <pic:blipFill>
                          <a:blip r:embed="rId19"/>
                          <a:stretch>
                            <a:fillRect/>
                          </a:stretch>
                        </pic:blipFill>
                        <pic:spPr>
                          <a:xfrm>
                            <a:off x="0" y="0"/>
                            <a:ext cx="2912745" cy="2185035"/>
                          </a:xfrm>
                          <a:prstGeom prst="rect">
                            <a:avLst/>
                          </a:prstGeom>
                        </pic:spPr>
                      </pic:pic>
                    </a:graphicData>
                  </a:graphic>
                </wp:inline>
              </w:drawing>
            </w:r>
          </w:p>
        </w:tc>
        <w:tc>
          <w:tcPr>
            <w:tcW w:w="5029" w:type="dxa"/>
            <w:noWrap/>
            <w:vAlign w:val="center"/>
          </w:tcPr>
          <w:p>
            <w:pPr>
              <w:jc w:val="center"/>
              <w:rPr>
                <w:rFonts w:ascii="宋体" w:hAnsi="宋体"/>
              </w:rPr>
            </w:pPr>
            <w:r>
              <w:rPr>
                <w:rFonts w:hint="eastAsia" w:ascii="宋体" w:hAnsi="宋体"/>
              </w:rPr>
              <w:drawing>
                <wp:inline distT="0" distB="0" distL="114300" distR="114300">
                  <wp:extent cx="3086735" cy="2262505"/>
                  <wp:effectExtent l="0" t="0" r="18415" b="4445"/>
                  <wp:docPr id="67" name="图片 67" descr="C:\Users\LENOVO\Desktop\云内动力\云内动力现场照片\IMG_20221027_100426.jpgIMG_20221027_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LENOVO\Desktop\云内动力\云内动力现场照片\IMG_20221027_100426.jpgIMG_20221027_100426"/>
                          <pic:cNvPicPr>
                            <a:picLocks noChangeAspect="1"/>
                          </pic:cNvPicPr>
                        </pic:nvPicPr>
                        <pic:blipFill>
                          <a:blip r:embed="rId20"/>
                          <a:stretch>
                            <a:fillRect/>
                          </a:stretch>
                        </pic:blipFill>
                        <pic:spPr>
                          <a:xfrm>
                            <a:off x="0" y="0"/>
                            <a:ext cx="3086735" cy="2262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noWrap/>
            <w:vAlign w:val="center"/>
          </w:tcPr>
          <w:p>
            <w:pPr>
              <w:jc w:val="center"/>
              <w:rPr>
                <w:rFonts w:ascii="宋体" w:hAnsi="宋体"/>
                <w:color w:val="FF0000"/>
                <w:szCs w:val="21"/>
              </w:rPr>
            </w:pPr>
            <w:r>
              <w:rPr>
                <w:rFonts w:ascii="宋体" w:hAnsi="宋体"/>
                <w:szCs w:val="21"/>
              </w:rPr>
              <w:t>第三联合厂房北侧道路</w:t>
            </w:r>
          </w:p>
        </w:tc>
        <w:tc>
          <w:tcPr>
            <w:tcW w:w="5029" w:type="dxa"/>
            <w:noWrap/>
            <w:vAlign w:val="center"/>
          </w:tcPr>
          <w:p>
            <w:pPr>
              <w:tabs>
                <w:tab w:val="center" w:pos="2466"/>
                <w:tab w:val="left" w:pos="3214"/>
              </w:tabs>
              <w:jc w:val="left"/>
              <w:rPr>
                <w:rFonts w:ascii="宋体" w:hAnsi="宋体"/>
                <w:szCs w:val="21"/>
              </w:rPr>
            </w:pPr>
            <w:r>
              <w:rPr>
                <w:rFonts w:hAnsi="宋体"/>
                <w:color w:val="FF0000"/>
                <w:kern w:val="0"/>
                <w:sz w:val="24"/>
              </w:rPr>
              <w:tab/>
            </w:r>
            <w:r>
              <w:rPr>
                <w:rFonts w:hAnsi="宋体"/>
                <w:kern w:val="0"/>
                <w:sz w:val="24"/>
              </w:rPr>
              <w:t>压缩空气管道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noWrap/>
            <w:vAlign w:val="center"/>
          </w:tcPr>
          <w:p>
            <w:pPr>
              <w:jc w:val="center"/>
              <w:rPr>
                <w:rFonts w:hAnsi="宋体"/>
                <w:kern w:val="0"/>
                <w:sz w:val="24"/>
              </w:rPr>
            </w:pPr>
            <w:r>
              <w:rPr>
                <w:rFonts w:hint="eastAsia" w:hAnsi="宋体"/>
                <w:kern w:val="0"/>
                <w:sz w:val="24"/>
              </w:rPr>
              <w:drawing>
                <wp:inline distT="0" distB="0" distL="114300" distR="114300">
                  <wp:extent cx="2665095" cy="2229485"/>
                  <wp:effectExtent l="0" t="0" r="1905" b="18415"/>
                  <wp:docPr id="68" name="图片 68" descr="C:\Users\LENOVO\Desktop\云内动力\云内动力现场照片\IMG_20221027_100316.jpgIMG_20221027_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LENOVO\Desktop\云内动力\云内动力现场照片\IMG_20221027_100316.jpgIMG_20221027_100316"/>
                          <pic:cNvPicPr>
                            <a:picLocks noChangeAspect="1"/>
                          </pic:cNvPicPr>
                        </pic:nvPicPr>
                        <pic:blipFill>
                          <a:blip r:embed="rId21"/>
                          <a:stretch>
                            <a:fillRect/>
                          </a:stretch>
                        </pic:blipFill>
                        <pic:spPr>
                          <a:xfrm>
                            <a:off x="0" y="0"/>
                            <a:ext cx="2665095" cy="2229485"/>
                          </a:xfrm>
                          <a:prstGeom prst="rect">
                            <a:avLst/>
                          </a:prstGeom>
                        </pic:spPr>
                      </pic:pic>
                    </a:graphicData>
                  </a:graphic>
                </wp:inline>
              </w:drawing>
            </w:r>
          </w:p>
        </w:tc>
        <w:tc>
          <w:tcPr>
            <w:tcW w:w="5029" w:type="dxa"/>
            <w:noWrap/>
            <w:vAlign w:val="center"/>
          </w:tcPr>
          <w:p>
            <w:pPr>
              <w:jc w:val="center"/>
              <w:rPr>
                <w:rFonts w:hAnsi="宋体"/>
                <w:kern w:val="0"/>
                <w:sz w:val="24"/>
              </w:rPr>
            </w:pPr>
            <w:r>
              <w:rPr>
                <w:rFonts w:hint="eastAsia" w:hAnsi="宋体"/>
                <w:kern w:val="0"/>
                <w:sz w:val="24"/>
              </w:rPr>
              <w:drawing>
                <wp:inline distT="0" distB="0" distL="114300" distR="114300">
                  <wp:extent cx="3016885" cy="2262505"/>
                  <wp:effectExtent l="0" t="0" r="12065" b="4445"/>
                  <wp:docPr id="69" name="图片 69" descr="C:\Users\LENOVO\Desktop\云内动力\云内动力现场照片\IMG_20221027_095539.jpgIMG_20221027_09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LENOVO\Desktop\云内动力\云内动力现场照片\IMG_20221027_095539.jpgIMG_20221027_095539"/>
                          <pic:cNvPicPr>
                            <a:picLocks noChangeAspect="1"/>
                          </pic:cNvPicPr>
                        </pic:nvPicPr>
                        <pic:blipFill>
                          <a:blip r:embed="rId22"/>
                          <a:stretch>
                            <a:fillRect/>
                          </a:stretch>
                        </pic:blipFill>
                        <pic:spPr>
                          <a:xfrm>
                            <a:off x="0" y="0"/>
                            <a:ext cx="3016885" cy="2262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noWrap/>
            <w:vAlign w:val="center"/>
          </w:tcPr>
          <w:p>
            <w:pPr>
              <w:jc w:val="center"/>
              <w:rPr>
                <w:rFonts w:hAnsi="宋体"/>
                <w:color w:val="FF0000"/>
                <w:kern w:val="0"/>
                <w:sz w:val="24"/>
              </w:rPr>
            </w:pPr>
            <w:r>
              <w:rPr>
                <w:rFonts w:hint="eastAsia" w:hAnsi="宋体"/>
                <w:kern w:val="0"/>
                <w:sz w:val="24"/>
              </w:rPr>
              <w:t>消防器材</w:t>
            </w:r>
          </w:p>
        </w:tc>
        <w:tc>
          <w:tcPr>
            <w:tcW w:w="5029" w:type="dxa"/>
            <w:noWrap/>
            <w:vAlign w:val="center"/>
          </w:tcPr>
          <w:p>
            <w:pPr>
              <w:jc w:val="center"/>
              <w:rPr>
                <w:rFonts w:hAnsi="宋体"/>
                <w:color w:val="FF0000"/>
                <w:kern w:val="0"/>
                <w:sz w:val="24"/>
              </w:rPr>
            </w:pPr>
            <w:r>
              <w:rPr>
                <w:rFonts w:hint="eastAsia" w:hAnsi="宋体"/>
                <w:kern w:val="0"/>
                <w:sz w:val="24"/>
              </w:rPr>
              <w:t>起重机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jc w:val="center"/>
        </w:trPr>
        <w:tc>
          <w:tcPr>
            <w:tcW w:w="4825" w:type="dxa"/>
            <w:noWrap/>
            <w:vAlign w:val="center"/>
          </w:tcPr>
          <w:p>
            <w:pPr>
              <w:rPr>
                <w:rFonts w:ascii="宋体" w:hAnsi="宋体"/>
              </w:rPr>
            </w:pPr>
            <w:r>
              <w:rPr>
                <w:rFonts w:hint="eastAsia" w:ascii="宋体" w:hAnsi="宋体"/>
              </w:rPr>
              <w:drawing>
                <wp:inline distT="0" distB="0" distL="114300" distR="114300">
                  <wp:extent cx="2926080" cy="2194560"/>
                  <wp:effectExtent l="0" t="0" r="7620" b="2540"/>
                  <wp:docPr id="70" name="图片 70" descr="C:\Users\LENOVO\Desktop\云内动力\云内动力现场照片\IMG_20221027_112937.jpgIMG_20221027_11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LENOVO\Desktop\云内动力\云内动力现场照片\IMG_20221027_112937.jpgIMG_20221027_112937"/>
                          <pic:cNvPicPr>
                            <a:picLocks noChangeAspect="1"/>
                          </pic:cNvPicPr>
                        </pic:nvPicPr>
                        <pic:blipFill>
                          <a:blip r:embed="rId23"/>
                          <a:stretch>
                            <a:fillRect/>
                          </a:stretch>
                        </pic:blipFill>
                        <pic:spPr>
                          <a:xfrm>
                            <a:off x="0" y="0"/>
                            <a:ext cx="2926080" cy="2194560"/>
                          </a:xfrm>
                          <a:prstGeom prst="rect">
                            <a:avLst/>
                          </a:prstGeom>
                        </pic:spPr>
                      </pic:pic>
                    </a:graphicData>
                  </a:graphic>
                </wp:inline>
              </w:drawing>
            </w:r>
          </w:p>
        </w:tc>
        <w:tc>
          <w:tcPr>
            <w:tcW w:w="5029" w:type="dxa"/>
            <w:noWrap/>
            <w:vAlign w:val="center"/>
          </w:tcPr>
          <w:p>
            <w:pPr>
              <w:rPr>
                <w:rFonts w:ascii="宋体" w:hAnsi="宋体"/>
              </w:rPr>
            </w:pPr>
            <w:r>
              <w:rPr>
                <w:rFonts w:hint="eastAsia" w:ascii="宋体" w:hAnsi="宋体"/>
              </w:rPr>
              <w:drawing>
                <wp:inline distT="0" distB="0" distL="114300" distR="114300">
                  <wp:extent cx="3016885" cy="2262505"/>
                  <wp:effectExtent l="0" t="0" r="12065" b="4445"/>
                  <wp:docPr id="71" name="图片 71" descr="C:\Users\LENOVO\Desktop\云内动力\云内动力现场照片\IMG_20221027_102429.jpgIMG_20221027_10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LENOVO\Desktop\云内动力\云内动力现场照片\IMG_20221027_102429.jpgIMG_20221027_102429"/>
                          <pic:cNvPicPr>
                            <a:picLocks noChangeAspect="1"/>
                          </pic:cNvPicPr>
                        </pic:nvPicPr>
                        <pic:blipFill>
                          <a:blip r:embed="rId24"/>
                          <a:stretch>
                            <a:fillRect/>
                          </a:stretch>
                        </pic:blipFill>
                        <pic:spPr>
                          <a:xfrm>
                            <a:off x="0" y="0"/>
                            <a:ext cx="3016885" cy="2262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noWrap/>
            <w:vAlign w:val="center"/>
          </w:tcPr>
          <w:p>
            <w:pPr>
              <w:jc w:val="center"/>
              <w:rPr>
                <w:rFonts w:ascii="宋体" w:hAnsi="宋体"/>
                <w:color w:val="FF0000"/>
              </w:rPr>
            </w:pPr>
            <w:r>
              <w:rPr>
                <w:rFonts w:hint="eastAsia" w:ascii="宋体" w:hAnsi="宋体"/>
              </w:rPr>
              <w:t>冷却水管道</w:t>
            </w:r>
          </w:p>
        </w:tc>
        <w:tc>
          <w:tcPr>
            <w:tcW w:w="5029" w:type="dxa"/>
            <w:noWrap/>
            <w:vAlign w:val="center"/>
          </w:tcPr>
          <w:p>
            <w:pPr>
              <w:jc w:val="center"/>
              <w:rPr>
                <w:rFonts w:ascii="宋体" w:hAnsi="宋体"/>
                <w:color w:val="FF0000"/>
              </w:rPr>
            </w:pPr>
            <w:r>
              <w:rPr>
                <w:rFonts w:hint="eastAsia" w:ascii="宋体" w:hAnsi="宋体"/>
              </w:rPr>
              <w:t>安全警示标识、职业危害告知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1" w:hRule="atLeast"/>
          <w:jc w:val="center"/>
        </w:trPr>
        <w:tc>
          <w:tcPr>
            <w:tcW w:w="4825" w:type="dxa"/>
            <w:noWrap/>
          </w:tcPr>
          <w:p>
            <w:pPr>
              <w:jc w:val="center"/>
              <w:rPr>
                <w:rFonts w:ascii="宋体" w:hAnsi="宋体"/>
              </w:rPr>
            </w:pPr>
            <w:r>
              <w:rPr>
                <w:rFonts w:hint="eastAsia" w:ascii="宋体" w:hAnsi="宋体"/>
              </w:rPr>
              <w:drawing>
                <wp:inline distT="0" distB="0" distL="114300" distR="114300">
                  <wp:extent cx="2912745" cy="2184400"/>
                  <wp:effectExtent l="0" t="0" r="1905" b="6350"/>
                  <wp:docPr id="72" name="图片 72" descr="C:\Users\LENOVO\Desktop\云内动力\云内动力现场照片\IMG_20221027_100518.jpgIMG_20221027_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LENOVO\Desktop\云内动力\云内动力现场照片\IMG_20221027_100518.jpgIMG_20221027_100518"/>
                          <pic:cNvPicPr>
                            <a:picLocks noChangeAspect="1"/>
                          </pic:cNvPicPr>
                        </pic:nvPicPr>
                        <pic:blipFill>
                          <a:blip r:embed="rId25"/>
                          <a:srcRect/>
                          <a:stretch>
                            <a:fillRect/>
                          </a:stretch>
                        </pic:blipFill>
                        <pic:spPr>
                          <a:xfrm>
                            <a:off x="0" y="0"/>
                            <a:ext cx="2912745" cy="2184400"/>
                          </a:xfrm>
                          <a:prstGeom prst="rect">
                            <a:avLst/>
                          </a:prstGeom>
                        </pic:spPr>
                      </pic:pic>
                    </a:graphicData>
                  </a:graphic>
                </wp:inline>
              </w:drawing>
            </w:r>
          </w:p>
        </w:tc>
        <w:tc>
          <w:tcPr>
            <w:tcW w:w="5029" w:type="dxa"/>
            <w:noWrap/>
          </w:tcPr>
          <w:p>
            <w:pPr>
              <w:jc w:val="center"/>
              <w:rPr>
                <w:rFonts w:ascii="宋体" w:hAnsi="宋体"/>
              </w:rPr>
            </w:pPr>
            <w:r>
              <w:rPr>
                <w:rFonts w:hint="eastAsia" w:ascii="宋体" w:hAnsi="宋体"/>
              </w:rPr>
              <w:drawing>
                <wp:inline distT="0" distB="0" distL="114300" distR="114300">
                  <wp:extent cx="2978150" cy="2233930"/>
                  <wp:effectExtent l="0" t="0" r="12700" b="13970"/>
                  <wp:docPr id="73" name="图片 73" descr="C:\Users\LENOVO\Desktop\云内动力\云内动力现场照片\IMG_20221027_105334.jpgIMG_20221027_10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LENOVO\Desktop\云内动力\云内动力现场照片\IMG_20221027_105334.jpgIMG_20221027_105334"/>
                          <pic:cNvPicPr>
                            <a:picLocks noChangeAspect="1"/>
                          </pic:cNvPicPr>
                        </pic:nvPicPr>
                        <pic:blipFill>
                          <a:blip r:embed="rId26"/>
                          <a:srcRect/>
                          <a:stretch>
                            <a:fillRect/>
                          </a:stretch>
                        </pic:blipFill>
                        <pic:spPr>
                          <a:xfrm>
                            <a:off x="0" y="0"/>
                            <a:ext cx="2978150" cy="2233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825" w:type="dxa"/>
            <w:noWrap/>
          </w:tcPr>
          <w:p>
            <w:pPr>
              <w:jc w:val="center"/>
              <w:rPr>
                <w:rFonts w:ascii="宋体" w:hAnsi="宋体"/>
                <w:sz w:val="24"/>
              </w:rPr>
            </w:pPr>
            <w:r>
              <w:rPr>
                <w:rFonts w:hint="eastAsia" w:ascii="宋体" w:hAnsi="宋体"/>
              </w:rPr>
              <w:t>发动机热试台架房</w:t>
            </w:r>
          </w:p>
        </w:tc>
        <w:tc>
          <w:tcPr>
            <w:tcW w:w="5029" w:type="dxa"/>
            <w:noWrap/>
          </w:tcPr>
          <w:p>
            <w:pPr>
              <w:jc w:val="center"/>
              <w:rPr>
                <w:rFonts w:ascii="宋体" w:hAnsi="宋体"/>
              </w:rPr>
            </w:pPr>
            <w:r>
              <w:rPr>
                <w:rFonts w:hint="eastAsia" w:ascii="宋体" w:hAnsi="宋体"/>
              </w:rPr>
              <w:t>紧急联锁停车按钮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9" w:hRule="atLeast"/>
          <w:jc w:val="center"/>
        </w:trPr>
        <w:tc>
          <w:tcPr>
            <w:tcW w:w="4825" w:type="dxa"/>
            <w:noWrap/>
          </w:tcPr>
          <w:p>
            <w:pPr>
              <w:jc w:val="center"/>
              <w:rPr>
                <w:rFonts w:ascii="宋体" w:hAnsi="宋体"/>
              </w:rPr>
            </w:pPr>
            <w:r>
              <w:rPr>
                <w:rFonts w:hint="eastAsia" w:ascii="宋体" w:hAnsi="宋体"/>
              </w:rPr>
              <w:drawing>
                <wp:inline distT="0" distB="0" distL="114300" distR="114300">
                  <wp:extent cx="2910840" cy="2184400"/>
                  <wp:effectExtent l="0" t="0" r="3810" b="6350"/>
                  <wp:docPr id="74" name="图片 74" descr="C:\Users\LENOVO\Desktop\云内动力\云内动力现场照片\微信图片_20230221105057.jpg微信图片_202302211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LENOVO\Desktop\云内动力\云内动力现场照片\微信图片_20230221105057.jpg微信图片_20230221105057"/>
                          <pic:cNvPicPr>
                            <a:picLocks noChangeAspect="1"/>
                          </pic:cNvPicPr>
                        </pic:nvPicPr>
                        <pic:blipFill>
                          <a:blip r:embed="rId27"/>
                          <a:srcRect/>
                          <a:stretch>
                            <a:fillRect/>
                          </a:stretch>
                        </pic:blipFill>
                        <pic:spPr>
                          <a:xfrm>
                            <a:off x="0" y="0"/>
                            <a:ext cx="2910840" cy="2184400"/>
                          </a:xfrm>
                          <a:prstGeom prst="rect">
                            <a:avLst/>
                          </a:prstGeom>
                        </pic:spPr>
                      </pic:pic>
                    </a:graphicData>
                  </a:graphic>
                </wp:inline>
              </w:drawing>
            </w:r>
          </w:p>
        </w:tc>
        <w:tc>
          <w:tcPr>
            <w:tcW w:w="5029" w:type="dxa"/>
            <w:noWrap/>
          </w:tcPr>
          <w:p>
            <w:pPr>
              <w:rPr>
                <w:rFonts w:ascii="宋体" w:hAnsi="宋体"/>
              </w:rPr>
            </w:pPr>
            <w:r>
              <w:rPr>
                <w:rFonts w:hint="eastAsia" w:ascii="宋体" w:hAnsi="宋体"/>
              </w:rPr>
              <w:drawing>
                <wp:inline distT="0" distB="0" distL="114300" distR="114300">
                  <wp:extent cx="3016250" cy="2262505"/>
                  <wp:effectExtent l="0" t="0" r="12700" b="4445"/>
                  <wp:docPr id="75" name="图片 75" descr="C:\Users\LENOVO\Desktop\云内动力\云内动力现场照片\IMG_20221027_112733.jpgIMG_20221027_11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LENOVO\Desktop\云内动力\云内动力现场照片\IMG_20221027_112733.jpgIMG_20221027_112733"/>
                          <pic:cNvPicPr>
                            <a:picLocks noChangeAspect="1"/>
                          </pic:cNvPicPr>
                        </pic:nvPicPr>
                        <pic:blipFill>
                          <a:blip r:embed="rId28"/>
                          <a:srcRect/>
                          <a:stretch>
                            <a:fillRect/>
                          </a:stretch>
                        </pic:blipFill>
                        <pic:spPr>
                          <a:xfrm>
                            <a:off x="0" y="0"/>
                            <a:ext cx="3016250" cy="2262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noWrap/>
          </w:tcPr>
          <w:p>
            <w:pPr>
              <w:jc w:val="center"/>
              <w:rPr>
                <w:rFonts w:ascii="宋体" w:hAnsi="宋体"/>
                <w:color w:val="FF0000"/>
              </w:rPr>
            </w:pPr>
            <w:r>
              <w:rPr>
                <w:rFonts w:hint="eastAsia" w:ascii="宋体" w:hAnsi="宋体"/>
              </w:rPr>
              <w:t>缸体加工线</w:t>
            </w:r>
          </w:p>
        </w:tc>
        <w:tc>
          <w:tcPr>
            <w:tcW w:w="5029" w:type="dxa"/>
            <w:noWrap/>
          </w:tcPr>
          <w:p>
            <w:pPr>
              <w:jc w:val="center"/>
              <w:rPr>
                <w:rFonts w:ascii="宋体" w:hAnsi="宋体"/>
                <w:color w:val="FF0000"/>
              </w:rPr>
            </w:pPr>
            <w:r>
              <w:rPr>
                <w:rFonts w:hint="eastAsia" w:ascii="宋体" w:hAnsi="宋体"/>
              </w:rPr>
              <w:t>成品堆放区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9" w:hRule="atLeast"/>
          <w:jc w:val="center"/>
        </w:trPr>
        <w:tc>
          <w:tcPr>
            <w:tcW w:w="4825" w:type="dxa"/>
            <w:noWrap/>
          </w:tcPr>
          <w:p>
            <w:pPr>
              <w:jc w:val="center"/>
              <w:rPr>
                <w:rFonts w:ascii="宋体" w:hAnsi="宋体"/>
              </w:rPr>
            </w:pPr>
            <w:r>
              <w:rPr>
                <w:rFonts w:hint="eastAsia" w:ascii="宋体" w:hAnsi="宋体"/>
              </w:rPr>
              <w:drawing>
                <wp:inline distT="0" distB="0" distL="114300" distR="114300">
                  <wp:extent cx="2912745" cy="2184400"/>
                  <wp:effectExtent l="0" t="0" r="1905" b="6350"/>
                  <wp:docPr id="76" name="图片 76" descr="C:\Users\LENOVO\Desktop\云内动力\云内动力现场照片\IMG_20221027_101735.jpgIMG_20221027_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LENOVO\Desktop\云内动力\云内动力现场照片\IMG_20221027_101735.jpgIMG_20221027_101735"/>
                          <pic:cNvPicPr>
                            <a:picLocks noChangeAspect="1"/>
                          </pic:cNvPicPr>
                        </pic:nvPicPr>
                        <pic:blipFill>
                          <a:blip r:embed="rId29"/>
                          <a:srcRect/>
                          <a:stretch>
                            <a:fillRect/>
                          </a:stretch>
                        </pic:blipFill>
                        <pic:spPr>
                          <a:xfrm>
                            <a:off x="0" y="0"/>
                            <a:ext cx="2912745" cy="2184400"/>
                          </a:xfrm>
                          <a:prstGeom prst="rect">
                            <a:avLst/>
                          </a:prstGeom>
                        </pic:spPr>
                      </pic:pic>
                    </a:graphicData>
                  </a:graphic>
                </wp:inline>
              </w:drawing>
            </w:r>
          </w:p>
        </w:tc>
        <w:tc>
          <w:tcPr>
            <w:tcW w:w="5029" w:type="dxa"/>
            <w:noWrap/>
          </w:tcPr>
          <w:p>
            <w:pPr>
              <w:jc w:val="center"/>
              <w:rPr>
                <w:rFonts w:ascii="宋体" w:hAnsi="宋体"/>
              </w:rPr>
            </w:pPr>
            <w:r>
              <w:rPr>
                <w:rFonts w:hint="eastAsia" w:ascii="宋体" w:hAnsi="宋体"/>
              </w:rPr>
              <w:drawing>
                <wp:inline distT="0" distB="0" distL="114300" distR="114300">
                  <wp:extent cx="3016885" cy="2262505"/>
                  <wp:effectExtent l="0" t="0" r="12065" b="4445"/>
                  <wp:docPr id="77" name="图片 77" descr="F:\云内动力\云内动力现场照片\IMG_20221027_130252.jpgIMG_20221027_13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云内动力\云内动力现场照片\IMG_20221027_130252.jpgIMG_20221027_130252"/>
                          <pic:cNvPicPr>
                            <a:picLocks noChangeAspect="1"/>
                          </pic:cNvPicPr>
                        </pic:nvPicPr>
                        <pic:blipFill>
                          <a:blip r:embed="rId30"/>
                          <a:srcRect/>
                          <a:stretch>
                            <a:fillRect/>
                          </a:stretch>
                        </pic:blipFill>
                        <pic:spPr>
                          <a:xfrm>
                            <a:off x="0" y="0"/>
                            <a:ext cx="3016885" cy="2262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5" w:type="dxa"/>
            <w:noWrap/>
          </w:tcPr>
          <w:p>
            <w:pPr>
              <w:jc w:val="center"/>
              <w:rPr>
                <w:rFonts w:ascii="宋体" w:hAnsi="宋体"/>
              </w:rPr>
            </w:pPr>
            <w:r>
              <w:rPr>
                <w:rFonts w:hint="eastAsia" w:ascii="宋体" w:hAnsi="宋体"/>
              </w:rPr>
              <w:t>压力表</w:t>
            </w:r>
          </w:p>
        </w:tc>
        <w:tc>
          <w:tcPr>
            <w:tcW w:w="5029" w:type="dxa"/>
            <w:noWrap/>
          </w:tcPr>
          <w:p>
            <w:pPr>
              <w:jc w:val="center"/>
              <w:rPr>
                <w:rFonts w:hint="eastAsia"/>
              </w:rPr>
            </w:pPr>
            <w:r>
              <w:rPr>
                <w:rFonts w:hint="eastAsia"/>
              </w:rPr>
              <w:t>评价人员现场照片</w:t>
            </w:r>
          </w:p>
          <w:p>
            <w:pPr>
              <w:pStyle w:val="2"/>
              <w:jc w:val="center"/>
              <w:rPr>
                <w:rFonts w:hint="eastAsia" w:hAnsi="宋体"/>
                <w:lang w:val="en-US" w:eastAsia="zh-CN"/>
              </w:rPr>
            </w:pPr>
            <w:r>
              <w:rPr>
                <w:rFonts w:hint="eastAsia" w:hAnsi="宋体"/>
                <w:lang w:val="en-US" w:eastAsia="zh-CN"/>
              </w:rPr>
              <w:t>评价人：向荣鼎-- 一级评价师</w:t>
            </w:r>
          </w:p>
          <w:p>
            <w:pPr>
              <w:pStyle w:val="2"/>
              <w:jc w:val="center"/>
              <w:rPr>
                <w:rFonts w:hint="default" w:hAnsi="宋体"/>
                <w:lang w:val="en-US" w:eastAsia="zh-CN"/>
              </w:rPr>
            </w:pPr>
            <w:r>
              <w:rPr>
                <w:rFonts w:hint="eastAsia" w:hAnsi="宋体"/>
                <w:lang w:val="en-US" w:eastAsia="zh-CN"/>
              </w:rPr>
              <w:t>陆朝春-- 二级评价师</w:t>
            </w:r>
          </w:p>
        </w:tc>
      </w:tr>
    </w:tbl>
    <w:p>
      <w:pPr>
        <w:pStyle w:val="51"/>
        <w:ind w:firstLine="0" w:firstLineChars="0"/>
        <w:jc w:val="center"/>
      </w:pPr>
    </w:p>
    <w:p/>
    <w:p>
      <w:pPr>
        <w:jc w:val="center"/>
      </w:pPr>
    </w:p>
    <w:p>
      <w:pPr>
        <w:pStyle w:val="2"/>
      </w:pPr>
    </w:p>
    <w:p>
      <w:pPr>
        <w:pStyle w:val="2"/>
      </w:pPr>
    </w:p>
    <w:bookmarkEnd w:id="188"/>
    <w:bookmarkEnd w:id="189"/>
    <w:bookmarkEnd w:id="190"/>
    <w:p>
      <w:pPr>
        <w:rPr>
          <w:rFonts w:ascii="宋体" w:hAnsi="宋体" w:cs="宋体"/>
          <w:sz w:val="36"/>
          <w:szCs w:val="36"/>
        </w:rPr>
      </w:pPr>
      <w:r>
        <w:rPr>
          <w:rFonts w:hint="eastAsia" w:ascii="宋体" w:hAnsi="宋体" w:cs="宋体"/>
          <w:sz w:val="36"/>
          <w:szCs w:val="36"/>
        </w:rPr>
        <w:br w:type="page"/>
      </w:r>
    </w:p>
    <w:p>
      <w:pPr>
        <w:pStyle w:val="3"/>
        <w:keepNext w:val="0"/>
        <w:keepLines w:val="0"/>
        <w:snapToGrid w:val="0"/>
        <w:spacing w:before="0" w:after="0" w:line="360" w:lineRule="auto"/>
        <w:rPr>
          <w:rFonts w:ascii="宋体" w:hAnsi="宋体" w:cs="宋体"/>
          <w:sz w:val="36"/>
          <w:szCs w:val="36"/>
        </w:rPr>
      </w:pPr>
      <w:bookmarkStart w:id="288" w:name="_Toc13470"/>
      <w:r>
        <w:rPr>
          <w:rFonts w:hint="eastAsia" w:ascii="宋体" w:hAnsi="宋体" w:cs="宋体"/>
          <w:sz w:val="36"/>
          <w:szCs w:val="36"/>
        </w:rPr>
        <w:t>3 主要危险、有害因素辨识与分析</w:t>
      </w:r>
      <w:bookmarkEnd w:id="288"/>
    </w:p>
    <w:p>
      <w:pPr>
        <w:pStyle w:val="4"/>
        <w:keepNext w:val="0"/>
        <w:keepLines w:val="0"/>
        <w:snapToGrid w:val="0"/>
        <w:spacing w:before="0" w:after="0" w:line="360" w:lineRule="auto"/>
        <w:jc w:val="left"/>
        <w:rPr>
          <w:rFonts w:ascii="宋体" w:hAnsi="宋体" w:cs="宋体"/>
          <w:snapToGrid/>
          <w:kern w:val="2"/>
        </w:rPr>
      </w:pPr>
      <w:bookmarkStart w:id="289" w:name="_Toc32464"/>
      <w:bookmarkStart w:id="290" w:name="_Toc19421"/>
      <w:bookmarkStart w:id="291" w:name="_Toc25582"/>
      <w:bookmarkStart w:id="292" w:name="_Toc416047269"/>
      <w:bookmarkStart w:id="293" w:name="_Toc34936296"/>
      <w:r>
        <w:rPr>
          <w:rFonts w:hint="eastAsia" w:ascii="宋体" w:hAnsi="宋体" w:cs="宋体"/>
          <w:snapToGrid/>
          <w:kern w:val="2"/>
        </w:rPr>
        <w:t>3.1</w:t>
      </w:r>
      <w:r>
        <w:rPr>
          <w:rFonts w:hint="eastAsia" w:ascii="宋体" w:hAnsi="宋体" w:cs="宋体"/>
          <w:snapToGrid/>
          <w:kern w:val="2"/>
          <w:lang w:val="en-US" w:eastAsia="zh-CN"/>
        </w:rPr>
        <w:t xml:space="preserve"> </w:t>
      </w:r>
      <w:r>
        <w:rPr>
          <w:rFonts w:hint="eastAsia" w:ascii="宋体" w:hAnsi="宋体" w:cs="宋体"/>
          <w:snapToGrid/>
          <w:kern w:val="2"/>
        </w:rPr>
        <w:t>辨识与分析的目的</w:t>
      </w:r>
      <w:bookmarkEnd w:id="289"/>
      <w:bookmarkEnd w:id="290"/>
    </w:p>
    <w:p>
      <w:pPr>
        <w:adjustRightInd w:val="0"/>
        <w:snapToGrid w:val="0"/>
        <w:spacing w:line="360" w:lineRule="auto"/>
        <w:ind w:firstLine="560" w:firstLineChars="200"/>
        <w:rPr>
          <w:rFonts w:ascii="宋体" w:hAnsi="宋体"/>
          <w:sz w:val="28"/>
          <w:szCs w:val="28"/>
        </w:rPr>
      </w:pPr>
      <w:r>
        <w:rPr>
          <w:rFonts w:ascii="宋体" w:hAnsi="宋体"/>
          <w:sz w:val="28"/>
          <w:szCs w:val="28"/>
        </w:rPr>
        <w:t>危险、有害因素辨识与分析是安全评价的基础。</w:t>
      </w:r>
    </w:p>
    <w:p>
      <w:pPr>
        <w:adjustRightInd w:val="0"/>
        <w:snapToGrid w:val="0"/>
        <w:spacing w:line="360" w:lineRule="auto"/>
        <w:ind w:firstLine="560" w:firstLineChars="200"/>
        <w:rPr>
          <w:rFonts w:ascii="宋体" w:hAnsi="宋体"/>
          <w:sz w:val="28"/>
          <w:szCs w:val="28"/>
        </w:rPr>
      </w:pPr>
      <w:r>
        <w:rPr>
          <w:rFonts w:ascii="宋体" w:hAnsi="宋体"/>
          <w:sz w:val="28"/>
          <w:szCs w:val="28"/>
        </w:rPr>
        <w:t>危险因素是指系统（人、机械、材料、设施、工艺、环境）中存在的，能对人造成伤亡，对物造成突发性损害的因素。</w:t>
      </w:r>
    </w:p>
    <w:p>
      <w:pPr>
        <w:adjustRightInd w:val="0"/>
        <w:snapToGrid w:val="0"/>
        <w:spacing w:line="360" w:lineRule="auto"/>
        <w:ind w:firstLine="560" w:firstLineChars="200"/>
        <w:rPr>
          <w:rFonts w:ascii="宋体" w:hAnsi="宋体"/>
          <w:sz w:val="28"/>
          <w:szCs w:val="28"/>
        </w:rPr>
      </w:pPr>
      <w:r>
        <w:rPr>
          <w:rFonts w:ascii="宋体" w:hAnsi="宋体"/>
          <w:sz w:val="28"/>
          <w:szCs w:val="28"/>
        </w:rPr>
        <w:t>有害因素是指影响人的身体健康，导致疾病，或对物造成慢性损害的因素。</w:t>
      </w:r>
    </w:p>
    <w:p>
      <w:pPr>
        <w:adjustRightInd w:val="0"/>
        <w:snapToGrid w:val="0"/>
        <w:spacing w:line="360" w:lineRule="auto"/>
        <w:ind w:firstLine="560" w:firstLineChars="200"/>
        <w:rPr>
          <w:rFonts w:ascii="宋体" w:hAnsi="宋体"/>
          <w:sz w:val="28"/>
          <w:szCs w:val="28"/>
        </w:rPr>
      </w:pPr>
      <w:r>
        <w:rPr>
          <w:rFonts w:ascii="宋体" w:hAnsi="宋体"/>
          <w:sz w:val="28"/>
          <w:szCs w:val="28"/>
        </w:rPr>
        <w:t>主要危险、有害因素的识别，就是找出生产、经营过程中最有可能引发重大事故，导致不良后果的人、机、物、工艺、环境和组织等，识别可能发生的事故、后果和条件，以便采取预防和控制措施。</w:t>
      </w:r>
    </w:p>
    <w:p>
      <w:pPr>
        <w:pStyle w:val="4"/>
        <w:keepNext w:val="0"/>
        <w:keepLines w:val="0"/>
        <w:snapToGrid w:val="0"/>
        <w:spacing w:before="0" w:after="0" w:line="360" w:lineRule="auto"/>
        <w:jc w:val="left"/>
        <w:rPr>
          <w:rFonts w:ascii="宋体" w:hAnsi="宋体" w:cs="宋体"/>
          <w:snapToGrid/>
          <w:kern w:val="2"/>
        </w:rPr>
      </w:pPr>
      <w:bookmarkStart w:id="294" w:name="_Toc23722"/>
      <w:r>
        <w:rPr>
          <w:rFonts w:hint="eastAsia" w:ascii="宋体" w:hAnsi="宋体" w:cs="宋体"/>
          <w:snapToGrid/>
          <w:kern w:val="2"/>
        </w:rPr>
        <w:t>3.2</w:t>
      </w:r>
      <w:r>
        <w:rPr>
          <w:rFonts w:hint="eastAsia" w:ascii="宋体" w:hAnsi="宋体" w:cs="宋体"/>
          <w:snapToGrid/>
          <w:kern w:val="2"/>
          <w:lang w:val="en-US" w:eastAsia="zh-CN"/>
        </w:rPr>
        <w:t xml:space="preserve"> </w:t>
      </w:r>
      <w:r>
        <w:rPr>
          <w:rFonts w:hint="eastAsia" w:ascii="宋体" w:hAnsi="宋体" w:cs="宋体"/>
          <w:snapToGrid/>
          <w:kern w:val="2"/>
        </w:rPr>
        <w:t>辨识与分析的方法、依据</w:t>
      </w:r>
      <w:bookmarkEnd w:id="291"/>
      <w:bookmarkEnd w:id="292"/>
      <w:bookmarkEnd w:id="294"/>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本报告对危险、有害因素的辨识方法，是根据项目生产的特点，以及在生产过程中涉及的危险有害物质及其危险特性、生产工艺设备等方面进行分析，以辨识该项目存在的主要危险、有害因素。</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危险、有害因素分类的方法多种多样，本次评价主要按以下标准进行分类和识别：</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1、《企业职工伤亡事故分类（GB6441-1986）》中综合考虑起因物、引起事故的先发的诱导性原因、致害物、伤害方式等，将危险因素分为物体打击，机械伤害，起重伤害，触电，火灾，高处坠落等20类。</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2、《生产过程危险和危害因素分类与代码（GB/T13861-</w:t>
      </w:r>
      <w:r>
        <w:rPr>
          <w:rFonts w:hint="eastAsia" w:ascii="宋体" w:hAnsi="宋体"/>
          <w:sz w:val="28"/>
          <w:szCs w:val="28"/>
          <w:lang w:val="en-US" w:eastAsia="zh-CN"/>
        </w:rPr>
        <w:t>2022</w:t>
      </w:r>
      <w:r>
        <w:rPr>
          <w:rFonts w:hint="eastAsia" w:ascii="宋体" w:hAnsi="宋体"/>
          <w:sz w:val="28"/>
          <w:szCs w:val="28"/>
        </w:rPr>
        <w:t>）》中，将生产过程中的危险、危害因素分为人的因素、物的因素、环境因素和管理因素四大类。</w:t>
      </w:r>
    </w:p>
    <w:p>
      <w:pPr>
        <w:pStyle w:val="4"/>
        <w:keepNext w:val="0"/>
        <w:keepLines w:val="0"/>
        <w:snapToGrid w:val="0"/>
        <w:spacing w:before="0" w:after="0" w:line="360" w:lineRule="auto"/>
        <w:jc w:val="left"/>
        <w:rPr>
          <w:rFonts w:ascii="宋体" w:hAnsi="宋体" w:cs="宋体"/>
          <w:snapToGrid/>
          <w:kern w:val="2"/>
        </w:rPr>
      </w:pPr>
      <w:bookmarkStart w:id="295" w:name="_Toc197068887"/>
      <w:bookmarkStart w:id="296" w:name="_Toc135711851"/>
      <w:bookmarkStart w:id="297" w:name="_Toc30647"/>
      <w:bookmarkStart w:id="298" w:name="_Toc30765"/>
      <w:bookmarkStart w:id="299" w:name="_Toc416047270"/>
      <w:r>
        <w:rPr>
          <w:rFonts w:hint="eastAsia" w:ascii="宋体" w:hAnsi="宋体" w:cs="宋体"/>
          <w:snapToGrid/>
          <w:kern w:val="2"/>
        </w:rPr>
        <w:t>3.3</w:t>
      </w:r>
      <w:r>
        <w:rPr>
          <w:rFonts w:hint="eastAsia" w:ascii="宋体" w:hAnsi="宋体" w:cs="宋体"/>
          <w:snapToGrid/>
          <w:kern w:val="2"/>
          <w:lang w:val="en-US" w:eastAsia="zh-CN"/>
        </w:rPr>
        <w:t xml:space="preserve"> </w:t>
      </w:r>
      <w:r>
        <w:rPr>
          <w:rFonts w:hint="eastAsia" w:ascii="宋体" w:hAnsi="宋体" w:cs="宋体"/>
          <w:snapToGrid/>
          <w:kern w:val="2"/>
        </w:rPr>
        <w:t>危险、有害因素</w:t>
      </w:r>
      <w:bookmarkEnd w:id="295"/>
      <w:bookmarkEnd w:id="296"/>
      <w:r>
        <w:rPr>
          <w:rFonts w:hint="eastAsia" w:ascii="宋体" w:hAnsi="宋体" w:cs="宋体"/>
          <w:snapToGrid/>
          <w:kern w:val="2"/>
        </w:rPr>
        <w:t>产生的原因</w:t>
      </w:r>
      <w:bookmarkEnd w:id="297"/>
      <w:bookmarkEnd w:id="298"/>
      <w:bookmarkEnd w:id="299"/>
    </w:p>
    <w:p>
      <w:pPr>
        <w:pStyle w:val="5"/>
        <w:keepNext w:val="0"/>
        <w:keepLines w:val="0"/>
        <w:snapToGrid w:val="0"/>
        <w:spacing w:before="0" w:after="0" w:line="360" w:lineRule="auto"/>
        <w:jc w:val="left"/>
        <w:rPr>
          <w:rFonts w:ascii="宋体" w:hAnsi="宋体" w:cs="宋体"/>
          <w:sz w:val="28"/>
          <w:szCs w:val="28"/>
        </w:rPr>
      </w:pPr>
      <w:bookmarkStart w:id="300" w:name="_Toc401620944"/>
      <w:bookmarkStart w:id="301" w:name="_Toc416047271"/>
      <w:bookmarkStart w:id="302" w:name="_Toc366487135"/>
      <w:bookmarkStart w:id="303" w:name="_Toc2800"/>
      <w:bookmarkStart w:id="304" w:name="_Toc8781"/>
      <w:r>
        <w:rPr>
          <w:rFonts w:hint="eastAsia" w:ascii="宋体" w:hAnsi="宋体" w:cs="宋体"/>
          <w:sz w:val="28"/>
          <w:szCs w:val="28"/>
        </w:rPr>
        <w:t>3.3.1</w:t>
      </w:r>
      <w:r>
        <w:rPr>
          <w:rFonts w:hint="eastAsia" w:ascii="宋体" w:hAnsi="宋体" w:cs="宋体"/>
          <w:sz w:val="28"/>
          <w:szCs w:val="28"/>
          <w:lang w:val="en-US" w:eastAsia="zh-CN"/>
        </w:rPr>
        <w:t xml:space="preserve"> </w:t>
      </w:r>
      <w:r>
        <w:rPr>
          <w:rFonts w:hint="eastAsia" w:ascii="宋体" w:hAnsi="宋体" w:cs="宋体"/>
          <w:sz w:val="28"/>
          <w:szCs w:val="28"/>
        </w:rPr>
        <w:t>运行失控与设备故障</w:t>
      </w:r>
      <w:bookmarkEnd w:id="300"/>
      <w:bookmarkEnd w:id="301"/>
      <w:bookmarkEnd w:id="302"/>
      <w:bookmarkEnd w:id="303"/>
      <w:bookmarkEnd w:id="304"/>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运行失控是指装置运行过程中偏离或超过了正常的工艺技术条件，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pPr>
        <w:pStyle w:val="5"/>
        <w:keepNext w:val="0"/>
        <w:keepLines w:val="0"/>
        <w:snapToGrid w:val="0"/>
        <w:spacing w:before="0" w:after="0" w:line="360" w:lineRule="auto"/>
        <w:jc w:val="left"/>
        <w:rPr>
          <w:rFonts w:ascii="宋体" w:hAnsi="宋体" w:cs="宋体"/>
          <w:sz w:val="28"/>
          <w:szCs w:val="28"/>
        </w:rPr>
      </w:pPr>
      <w:bookmarkStart w:id="305" w:name="_Toc23959"/>
      <w:bookmarkStart w:id="306" w:name="_Toc401620945"/>
      <w:bookmarkStart w:id="307" w:name="_Toc366487136"/>
      <w:bookmarkStart w:id="308" w:name="_Toc416047272"/>
      <w:bookmarkStart w:id="309" w:name="_Toc15047"/>
      <w:r>
        <w:rPr>
          <w:rFonts w:hint="eastAsia" w:ascii="宋体" w:hAnsi="宋体" w:cs="宋体"/>
          <w:sz w:val="28"/>
          <w:szCs w:val="28"/>
        </w:rPr>
        <w:t>3.3.2</w:t>
      </w:r>
      <w:r>
        <w:rPr>
          <w:rFonts w:hint="eastAsia" w:ascii="宋体" w:hAnsi="宋体" w:cs="宋体"/>
          <w:sz w:val="28"/>
          <w:szCs w:val="28"/>
          <w:lang w:val="en-US" w:eastAsia="zh-CN"/>
        </w:rPr>
        <w:t xml:space="preserve"> </w:t>
      </w:r>
      <w:r>
        <w:rPr>
          <w:rFonts w:hint="eastAsia" w:ascii="宋体" w:hAnsi="宋体" w:cs="宋体"/>
          <w:sz w:val="28"/>
          <w:szCs w:val="28"/>
        </w:rPr>
        <w:t>人员失误</w:t>
      </w:r>
      <w:bookmarkEnd w:id="305"/>
      <w:bookmarkEnd w:id="306"/>
      <w:bookmarkEnd w:id="307"/>
      <w:bookmarkEnd w:id="308"/>
      <w:bookmarkEnd w:id="309"/>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人员失误系指不安全行为（指职工在劳动过程中违反劳动纪律、操作程序等）产生不良后果的行为。人员失误在生产过程中是不可避免的，它具有随机性和偶然性，往往是不可预测的意外行为。</w:t>
      </w:r>
    </w:p>
    <w:p>
      <w:pPr>
        <w:pStyle w:val="5"/>
        <w:keepNext w:val="0"/>
        <w:keepLines w:val="0"/>
        <w:snapToGrid w:val="0"/>
        <w:spacing w:before="0" w:after="0" w:line="360" w:lineRule="auto"/>
        <w:jc w:val="left"/>
        <w:rPr>
          <w:rFonts w:ascii="宋体" w:hAnsi="宋体" w:cs="宋体"/>
          <w:sz w:val="28"/>
          <w:szCs w:val="28"/>
        </w:rPr>
      </w:pPr>
      <w:bookmarkStart w:id="310" w:name="_Toc401620946"/>
      <w:bookmarkStart w:id="311" w:name="_Toc21598"/>
      <w:bookmarkStart w:id="312" w:name="_Toc416047273"/>
      <w:bookmarkStart w:id="313" w:name="_Toc2680"/>
      <w:bookmarkStart w:id="314" w:name="_Toc366487137"/>
      <w:r>
        <w:rPr>
          <w:rFonts w:hint="eastAsia" w:ascii="宋体" w:hAnsi="宋体" w:cs="宋体"/>
          <w:sz w:val="28"/>
          <w:szCs w:val="28"/>
        </w:rPr>
        <w:t>3.3.3</w:t>
      </w:r>
      <w:r>
        <w:rPr>
          <w:rFonts w:hint="eastAsia" w:ascii="宋体" w:hAnsi="宋体" w:cs="宋体"/>
          <w:sz w:val="28"/>
          <w:szCs w:val="28"/>
          <w:lang w:val="en-US" w:eastAsia="zh-CN"/>
        </w:rPr>
        <w:t xml:space="preserve"> </w:t>
      </w:r>
      <w:r>
        <w:rPr>
          <w:rFonts w:hint="eastAsia" w:ascii="宋体" w:hAnsi="宋体" w:cs="宋体"/>
          <w:sz w:val="28"/>
          <w:szCs w:val="28"/>
        </w:rPr>
        <w:t>管理缺陷</w:t>
      </w:r>
      <w:bookmarkEnd w:id="310"/>
      <w:bookmarkEnd w:id="311"/>
      <w:bookmarkEnd w:id="312"/>
      <w:bookmarkEnd w:id="313"/>
      <w:bookmarkEnd w:id="314"/>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安全管理是为保证及时、有效地实现既定的安全目标，是在预测、分析的基础上进行的计划、组织、协调、检查等工作，是预防故障和人员失误发生的有效手段，因此，管理缺陷是影响运行失控发生的重要因素。</w:t>
      </w:r>
    </w:p>
    <w:p>
      <w:pPr>
        <w:pStyle w:val="5"/>
        <w:keepNext w:val="0"/>
        <w:keepLines w:val="0"/>
        <w:snapToGrid w:val="0"/>
        <w:spacing w:before="0" w:after="0" w:line="360" w:lineRule="auto"/>
        <w:jc w:val="left"/>
        <w:rPr>
          <w:rFonts w:ascii="宋体" w:hAnsi="宋体" w:cs="宋体"/>
          <w:sz w:val="28"/>
          <w:szCs w:val="28"/>
        </w:rPr>
      </w:pPr>
      <w:bookmarkStart w:id="315" w:name="_Toc416047274"/>
      <w:bookmarkStart w:id="316" w:name="_Toc401620947"/>
      <w:bookmarkStart w:id="317" w:name="_Toc10436"/>
      <w:bookmarkStart w:id="318" w:name="_Toc30461"/>
      <w:bookmarkStart w:id="319" w:name="_Toc366487138"/>
      <w:r>
        <w:rPr>
          <w:rFonts w:hint="eastAsia" w:ascii="宋体" w:hAnsi="宋体" w:cs="宋体"/>
          <w:sz w:val="28"/>
          <w:szCs w:val="28"/>
        </w:rPr>
        <w:t>3.3.4</w:t>
      </w:r>
      <w:r>
        <w:rPr>
          <w:rFonts w:hint="eastAsia" w:ascii="宋体" w:hAnsi="宋体" w:cs="宋体"/>
          <w:sz w:val="28"/>
          <w:szCs w:val="28"/>
          <w:lang w:val="en-US" w:eastAsia="zh-CN"/>
        </w:rPr>
        <w:t xml:space="preserve"> </w:t>
      </w:r>
      <w:r>
        <w:rPr>
          <w:rFonts w:hint="eastAsia" w:ascii="宋体" w:hAnsi="宋体" w:cs="宋体"/>
          <w:sz w:val="28"/>
          <w:szCs w:val="28"/>
        </w:rPr>
        <w:t>环境影响</w:t>
      </w:r>
      <w:bookmarkEnd w:id="315"/>
      <w:bookmarkEnd w:id="316"/>
      <w:bookmarkEnd w:id="317"/>
      <w:bookmarkEnd w:id="318"/>
      <w:bookmarkEnd w:id="319"/>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不良环境的影响包括作业环境和自然环境。作业环境如温度、湿度、通风、照明、噪声、采光等因素的变化均可能导致人的情绪异常或者影响人的感官判断而引起误指挥、误操作，从而引发事故；自然环境如风、雨、雷电、水文地质条件、地质灾害等均可能引发安全事故。</w:t>
      </w:r>
    </w:p>
    <w:p>
      <w:pPr>
        <w:pStyle w:val="4"/>
        <w:keepNext w:val="0"/>
        <w:keepLines w:val="0"/>
        <w:snapToGrid w:val="0"/>
        <w:spacing w:before="0" w:after="0" w:line="360" w:lineRule="auto"/>
        <w:jc w:val="left"/>
        <w:rPr>
          <w:rFonts w:ascii="宋体" w:hAnsi="宋体" w:cs="宋体"/>
          <w:snapToGrid/>
          <w:kern w:val="2"/>
        </w:rPr>
      </w:pPr>
      <w:bookmarkStart w:id="320" w:name="_Toc12947"/>
      <w:bookmarkStart w:id="321" w:name="_Toc416047275"/>
      <w:bookmarkStart w:id="322" w:name="_Toc27089"/>
      <w:r>
        <w:rPr>
          <w:rFonts w:hint="eastAsia" w:ascii="宋体" w:hAnsi="宋体" w:cs="宋体"/>
          <w:snapToGrid/>
          <w:kern w:val="2"/>
        </w:rPr>
        <w:t>3.4</w:t>
      </w:r>
      <w:r>
        <w:rPr>
          <w:rFonts w:hint="eastAsia" w:ascii="宋体" w:hAnsi="宋体" w:cs="宋体"/>
          <w:snapToGrid/>
          <w:kern w:val="2"/>
          <w:lang w:val="en-US" w:eastAsia="zh-CN"/>
        </w:rPr>
        <w:t xml:space="preserve"> </w:t>
      </w:r>
      <w:r>
        <w:rPr>
          <w:rFonts w:hint="eastAsia" w:ascii="宋体" w:hAnsi="宋体" w:cs="宋体"/>
          <w:snapToGrid/>
          <w:kern w:val="2"/>
        </w:rPr>
        <w:t>主要危险有害物质及其理化特性</w:t>
      </w:r>
      <w:bookmarkEnd w:id="320"/>
      <w:bookmarkEnd w:id="321"/>
      <w:bookmarkEnd w:id="322"/>
    </w:p>
    <w:p>
      <w:pPr>
        <w:pStyle w:val="5"/>
        <w:keepNext w:val="0"/>
        <w:keepLines w:val="0"/>
        <w:snapToGrid w:val="0"/>
        <w:spacing w:before="0" w:after="0" w:line="360" w:lineRule="auto"/>
        <w:jc w:val="left"/>
        <w:rPr>
          <w:rFonts w:ascii="宋体" w:hAnsi="宋体" w:cs="宋体"/>
          <w:sz w:val="28"/>
          <w:szCs w:val="28"/>
        </w:rPr>
      </w:pPr>
      <w:bookmarkStart w:id="323" w:name="_Toc11412"/>
      <w:bookmarkStart w:id="324" w:name="_Toc416047276"/>
      <w:bookmarkStart w:id="325" w:name="_Toc18072"/>
      <w:r>
        <w:rPr>
          <w:rFonts w:hint="eastAsia" w:ascii="宋体" w:hAnsi="宋体" w:cs="宋体"/>
          <w:sz w:val="28"/>
          <w:szCs w:val="28"/>
        </w:rPr>
        <w:t>3.4.1</w:t>
      </w:r>
      <w:r>
        <w:rPr>
          <w:rFonts w:hint="eastAsia" w:ascii="宋体" w:hAnsi="宋体" w:cs="宋体"/>
          <w:sz w:val="28"/>
          <w:szCs w:val="28"/>
          <w:lang w:val="en-US" w:eastAsia="zh-CN"/>
        </w:rPr>
        <w:t xml:space="preserve"> </w:t>
      </w:r>
      <w:r>
        <w:rPr>
          <w:rFonts w:hint="eastAsia" w:ascii="宋体" w:hAnsi="宋体" w:cs="宋体"/>
          <w:sz w:val="28"/>
          <w:szCs w:val="28"/>
        </w:rPr>
        <w:t>主要危险、有害物质辨识</w:t>
      </w:r>
      <w:bookmarkEnd w:id="323"/>
      <w:bookmarkEnd w:id="324"/>
      <w:bookmarkEnd w:id="325"/>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通过对本建设项目在生产过程中涉及到的原料、辅助材料、产品、中间产品等进行分析后，本项目存在的主要危险物质为：</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1.机加工生产线：</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建设项目机加工生产线流程中的原材料为集体毛坯、缸盖毛坯，辅助材料为冷却切削液体、金属清洗剂、机械油、黄油等。同时吹扫工艺线吹扫过程中使用到压缩空气。</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2.装试生产线</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建设项目装试生产线主要原、辅材料有压缩空气、汽油、机油、机械油、平面密封胶、螺纹锁固胶、螺纹密封胶等。</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3.后装生产线</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建设项目后装生产线主要原辅材料有脱脂液、清漆、铝粉漆、耐高温漆、压缩空气。在补漆过程中高温产生的漆雾属于有害物质。</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4.公辅设施</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检修过程使用到的乙炔、氧气、及润滑油等。</w:t>
      </w:r>
    </w:p>
    <w:p>
      <w:pPr>
        <w:pStyle w:val="5"/>
        <w:keepNext w:val="0"/>
        <w:keepLines w:val="0"/>
        <w:snapToGrid w:val="0"/>
        <w:spacing w:before="0" w:after="0" w:line="360" w:lineRule="auto"/>
        <w:jc w:val="left"/>
        <w:rPr>
          <w:rFonts w:ascii="宋体" w:hAnsi="宋体" w:cs="宋体"/>
          <w:sz w:val="28"/>
          <w:szCs w:val="28"/>
        </w:rPr>
      </w:pPr>
      <w:bookmarkStart w:id="326" w:name="_Toc13044"/>
      <w:r>
        <w:rPr>
          <w:rFonts w:hint="eastAsia" w:ascii="宋体" w:hAnsi="宋体" w:cs="宋体"/>
          <w:sz w:val="28"/>
          <w:szCs w:val="28"/>
        </w:rPr>
        <w:t>3.4.2</w:t>
      </w:r>
      <w:r>
        <w:rPr>
          <w:rFonts w:hint="eastAsia" w:ascii="宋体" w:hAnsi="宋体" w:cs="宋体"/>
          <w:sz w:val="28"/>
          <w:szCs w:val="28"/>
          <w:lang w:val="en-US" w:eastAsia="zh-CN"/>
        </w:rPr>
        <w:t xml:space="preserve"> </w:t>
      </w:r>
      <w:r>
        <w:rPr>
          <w:rFonts w:hint="eastAsia" w:ascii="宋体" w:hAnsi="宋体" w:cs="宋体"/>
          <w:sz w:val="28"/>
          <w:szCs w:val="28"/>
        </w:rPr>
        <w:t>危险化学品辨识</w:t>
      </w:r>
      <w:bookmarkEnd w:id="326"/>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根据《危险化学品目录（2015年版）》，《国家安全监管总局办公厅关于印发危险化学品目录（2015年版）实施指南（试行）的通知（安监总厅管三〔2015〕80号）》以及《应急管理部 工业和信息化部 公安部生态环境部 交通运输部 农业农村部 卫生健康委 市场监督总局 铁路局 民航局 公告（2022年第8号）》判别，本项目中除氧气（压缩）、乙炔、油漆、汽油、柴油属于危险化学品，变压器油、设备润滑油不属于危险化学品，但也具有一定的火灾危险性。其余主、辅材料及成品均不属于危险化学品。本项目使用的危险化学品情况见表3-1。</w:t>
      </w:r>
    </w:p>
    <w:p>
      <w:pPr>
        <w:spacing w:line="500" w:lineRule="exact"/>
        <w:ind w:firstLine="482"/>
        <w:jc w:val="center"/>
        <w:rPr>
          <w:rFonts w:ascii="宋体" w:hAnsi="宋体" w:cs="宋体"/>
          <w:sz w:val="24"/>
        </w:rPr>
      </w:pPr>
      <w:r>
        <w:rPr>
          <w:rFonts w:hint="eastAsia" w:ascii="宋体" w:hAnsi="宋体" w:cs="宋体"/>
          <w:sz w:val="24"/>
        </w:rPr>
        <w:t>表3-1  使用危险化学品情况一览表</w:t>
      </w:r>
    </w:p>
    <w:tbl>
      <w:tblPr>
        <w:tblStyle w:val="52"/>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532"/>
        <w:gridCol w:w="2040"/>
        <w:gridCol w:w="4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blHeader/>
          <w:jc w:val="center"/>
        </w:trPr>
        <w:tc>
          <w:tcPr>
            <w:tcW w:w="802" w:type="dxa"/>
            <w:noWrap/>
            <w:vAlign w:val="center"/>
          </w:tcPr>
          <w:p>
            <w:pPr>
              <w:jc w:val="center"/>
              <w:rPr>
                <w:b/>
                <w:szCs w:val="21"/>
              </w:rPr>
            </w:pPr>
            <w:r>
              <w:rPr>
                <w:b/>
                <w:szCs w:val="21"/>
              </w:rPr>
              <w:t>序号</w:t>
            </w:r>
          </w:p>
        </w:tc>
        <w:tc>
          <w:tcPr>
            <w:tcW w:w="1532" w:type="dxa"/>
            <w:noWrap/>
            <w:vAlign w:val="center"/>
          </w:tcPr>
          <w:p>
            <w:pPr>
              <w:jc w:val="center"/>
              <w:rPr>
                <w:b/>
                <w:szCs w:val="21"/>
              </w:rPr>
            </w:pPr>
            <w:r>
              <w:rPr>
                <w:rFonts w:hint="eastAsia"/>
                <w:b/>
                <w:szCs w:val="21"/>
              </w:rPr>
              <w:t>危险化学品</w:t>
            </w:r>
          </w:p>
        </w:tc>
        <w:tc>
          <w:tcPr>
            <w:tcW w:w="2040" w:type="dxa"/>
            <w:noWrap/>
            <w:vAlign w:val="center"/>
          </w:tcPr>
          <w:p>
            <w:pPr>
              <w:jc w:val="center"/>
              <w:rPr>
                <w:b/>
                <w:szCs w:val="21"/>
              </w:rPr>
            </w:pPr>
            <w:r>
              <w:rPr>
                <w:b/>
                <w:szCs w:val="21"/>
              </w:rPr>
              <w:t>主要存在场所</w:t>
            </w:r>
          </w:p>
        </w:tc>
        <w:tc>
          <w:tcPr>
            <w:tcW w:w="4605" w:type="dxa"/>
            <w:noWrap/>
            <w:vAlign w:val="center"/>
          </w:tcPr>
          <w:p>
            <w:pPr>
              <w:jc w:val="center"/>
              <w:rPr>
                <w:b/>
                <w:szCs w:val="21"/>
              </w:rPr>
            </w:pPr>
            <w:r>
              <w:rPr>
                <w:b/>
                <w:szCs w:val="21"/>
              </w:rPr>
              <w:t>主要危险特性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02" w:type="dxa"/>
            <w:noWrap/>
            <w:vAlign w:val="center"/>
          </w:tcPr>
          <w:p>
            <w:pPr>
              <w:jc w:val="center"/>
              <w:rPr>
                <w:szCs w:val="21"/>
              </w:rPr>
            </w:pPr>
            <w:r>
              <w:rPr>
                <w:rFonts w:hint="eastAsia"/>
                <w:szCs w:val="21"/>
              </w:rPr>
              <w:t>1</w:t>
            </w:r>
          </w:p>
        </w:tc>
        <w:tc>
          <w:tcPr>
            <w:tcW w:w="1532" w:type="dxa"/>
            <w:noWrap/>
            <w:vAlign w:val="center"/>
          </w:tcPr>
          <w:p>
            <w:pPr>
              <w:jc w:val="center"/>
              <w:rPr>
                <w:szCs w:val="21"/>
              </w:rPr>
            </w:pPr>
            <w:r>
              <w:rPr>
                <w:szCs w:val="21"/>
              </w:rPr>
              <w:t>氧（压缩的）</w:t>
            </w:r>
          </w:p>
        </w:tc>
        <w:tc>
          <w:tcPr>
            <w:tcW w:w="2040" w:type="dxa"/>
            <w:vMerge w:val="restart"/>
            <w:noWrap/>
            <w:vAlign w:val="center"/>
          </w:tcPr>
          <w:p>
            <w:pPr>
              <w:jc w:val="center"/>
              <w:rPr>
                <w:szCs w:val="21"/>
              </w:rPr>
            </w:pPr>
            <w:r>
              <w:rPr>
                <w:kern w:val="0"/>
                <w:szCs w:val="21"/>
              </w:rPr>
              <w:t>施工、检修过程中使用的氧气瓶、乙炔瓶。</w:t>
            </w:r>
          </w:p>
        </w:tc>
        <w:tc>
          <w:tcPr>
            <w:tcW w:w="4605" w:type="dxa"/>
            <w:noWrap/>
            <w:vAlign w:val="center"/>
          </w:tcPr>
          <w:p>
            <w:pPr>
              <w:widowControl/>
              <w:jc w:val="left"/>
              <w:rPr>
                <w:kern w:val="0"/>
                <w:szCs w:val="21"/>
              </w:rPr>
            </w:pPr>
            <w:r>
              <w:rPr>
                <w:kern w:val="0"/>
                <w:szCs w:val="21"/>
              </w:rPr>
              <w:t>与空气混合能形成爆炸性混合物，遇明火、高热能引起燃烧爆炸。与氧化剂接触会猛烈反应。与氟、氯等接触会发生剧烈的化学反应。能与铜、银、汞等的化合物生成爆炸性物质。具有弱麻醉作用。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blHeader/>
          <w:jc w:val="center"/>
        </w:trPr>
        <w:tc>
          <w:tcPr>
            <w:tcW w:w="802" w:type="dxa"/>
            <w:noWrap/>
            <w:vAlign w:val="center"/>
          </w:tcPr>
          <w:p>
            <w:pPr>
              <w:jc w:val="center"/>
              <w:rPr>
                <w:szCs w:val="21"/>
              </w:rPr>
            </w:pPr>
            <w:r>
              <w:rPr>
                <w:rFonts w:hint="eastAsia"/>
                <w:szCs w:val="21"/>
              </w:rPr>
              <w:t>2</w:t>
            </w:r>
          </w:p>
        </w:tc>
        <w:tc>
          <w:tcPr>
            <w:tcW w:w="1532" w:type="dxa"/>
            <w:noWrap/>
            <w:vAlign w:val="center"/>
          </w:tcPr>
          <w:p>
            <w:pPr>
              <w:jc w:val="center"/>
              <w:rPr>
                <w:szCs w:val="21"/>
              </w:rPr>
            </w:pPr>
            <w:r>
              <w:rPr>
                <w:szCs w:val="21"/>
              </w:rPr>
              <w:t>乙炔</w:t>
            </w:r>
          </w:p>
        </w:tc>
        <w:tc>
          <w:tcPr>
            <w:tcW w:w="2040" w:type="dxa"/>
            <w:vMerge w:val="continue"/>
            <w:noWrap/>
            <w:vAlign w:val="center"/>
          </w:tcPr>
          <w:p>
            <w:pPr>
              <w:jc w:val="center"/>
              <w:rPr>
                <w:szCs w:val="21"/>
              </w:rPr>
            </w:pPr>
          </w:p>
        </w:tc>
        <w:tc>
          <w:tcPr>
            <w:tcW w:w="4605" w:type="dxa"/>
            <w:noWrap/>
            <w:vAlign w:val="center"/>
          </w:tcPr>
          <w:p>
            <w:pPr>
              <w:widowControl/>
              <w:jc w:val="left"/>
              <w:rPr>
                <w:kern w:val="0"/>
                <w:szCs w:val="21"/>
              </w:rPr>
            </w:pPr>
            <w:r>
              <w:rPr>
                <w:kern w:val="0"/>
                <w:szCs w:val="21"/>
              </w:rPr>
              <w:t>是易燃物、可燃物燃烧爆炸的基本要素之一，能氧化大多数活性物质。与易燃物（如乙炔、甲烷等）形成爆炸性的混合物。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blHeader/>
          <w:jc w:val="center"/>
        </w:trPr>
        <w:tc>
          <w:tcPr>
            <w:tcW w:w="802" w:type="dxa"/>
            <w:noWrap/>
            <w:vAlign w:val="center"/>
          </w:tcPr>
          <w:p>
            <w:pPr>
              <w:jc w:val="center"/>
              <w:rPr>
                <w:szCs w:val="21"/>
              </w:rPr>
            </w:pPr>
            <w:r>
              <w:rPr>
                <w:rFonts w:hint="eastAsia"/>
                <w:szCs w:val="21"/>
              </w:rPr>
              <w:t>3</w:t>
            </w:r>
          </w:p>
        </w:tc>
        <w:tc>
          <w:tcPr>
            <w:tcW w:w="1532" w:type="dxa"/>
            <w:noWrap/>
            <w:vAlign w:val="center"/>
          </w:tcPr>
          <w:p>
            <w:pPr>
              <w:jc w:val="center"/>
              <w:rPr>
                <w:szCs w:val="21"/>
              </w:rPr>
            </w:pPr>
            <w:r>
              <w:rPr>
                <w:rFonts w:hint="eastAsia"/>
                <w:szCs w:val="21"/>
              </w:rPr>
              <w:t>油漆</w:t>
            </w:r>
            <w:r>
              <w:rPr>
                <w:rFonts w:hint="eastAsia"/>
              </w:rPr>
              <w:t>（清漆、铝粉漆、耐高温漆）</w:t>
            </w:r>
          </w:p>
        </w:tc>
        <w:tc>
          <w:tcPr>
            <w:tcW w:w="2040" w:type="dxa"/>
            <w:noWrap/>
            <w:vAlign w:val="center"/>
          </w:tcPr>
          <w:p>
            <w:pPr>
              <w:jc w:val="center"/>
              <w:rPr>
                <w:szCs w:val="21"/>
              </w:rPr>
            </w:pPr>
            <w:r>
              <w:rPr>
                <w:rFonts w:hint="eastAsia"/>
                <w:szCs w:val="21"/>
              </w:rPr>
              <w:t>喷漆作业使用油漆</w:t>
            </w:r>
          </w:p>
        </w:tc>
        <w:tc>
          <w:tcPr>
            <w:tcW w:w="4605" w:type="dxa"/>
            <w:noWrap/>
            <w:vAlign w:val="center"/>
          </w:tcPr>
          <w:p>
            <w:pPr>
              <w:widowControl/>
              <w:jc w:val="left"/>
              <w:rPr>
                <w:rFonts w:ascii="宋体" w:hAnsi="宋体"/>
                <w:szCs w:val="21"/>
              </w:rPr>
            </w:pPr>
            <w:r>
              <w:rPr>
                <w:rFonts w:ascii="宋体" w:hAnsi="宋体"/>
                <w:szCs w:val="21"/>
              </w:rPr>
              <w:t>易燃，其蒸气与空气可形成爆炸性混合物，遇明火、高热能引起燃烧爆炸。与氧化剂能发生强烈反应。流速过快，容易产生和积聚静电。蒸气比空气重，沿地面扩散并易积存于低洼处，遇火源会着火回燃。</w:t>
            </w:r>
          </w:p>
          <w:p>
            <w:pPr>
              <w:widowControl/>
              <w:jc w:val="left"/>
              <w:rPr>
                <w:rFonts w:ascii="宋体" w:hAnsi="宋体"/>
                <w:szCs w:val="21"/>
              </w:rPr>
            </w:pPr>
            <w:r>
              <w:rPr>
                <w:rFonts w:hint="eastAsia" w:ascii="宋体" w:hAnsi="宋体"/>
                <w:szCs w:val="21"/>
              </w:rPr>
              <w:t>油漆成分中的苯进入体内可在造血组织本身形成具有血液毒性的代谢产物。长期接触苯可引起骨髓与遗传损害，血象检查可发现白细胞、血小板减少，全血细胞减少与再生障碍性贫血，甚至发生白血病。</w:t>
            </w:r>
          </w:p>
          <w:p>
            <w:pPr>
              <w:widowControl/>
              <w:jc w:val="left"/>
              <w:rPr>
                <w:rFonts w:ascii="宋体" w:hAnsi="宋体"/>
                <w:szCs w:val="21"/>
              </w:rPr>
            </w:pPr>
            <w:r>
              <w:rPr>
                <w:rFonts w:hint="eastAsia" w:ascii="宋体" w:hAnsi="宋体"/>
                <w:szCs w:val="21"/>
              </w:rPr>
              <w:t>油漆成分中的二甲苯也是一种麻醉剂，长期接触可使神经系统功能紊乱。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blHeader/>
          <w:jc w:val="center"/>
        </w:trPr>
        <w:tc>
          <w:tcPr>
            <w:tcW w:w="802" w:type="dxa"/>
            <w:noWrap/>
            <w:vAlign w:val="center"/>
          </w:tcPr>
          <w:p>
            <w:pPr>
              <w:jc w:val="center"/>
              <w:rPr>
                <w:szCs w:val="21"/>
              </w:rPr>
            </w:pPr>
            <w:bookmarkStart w:id="327" w:name="_Toc18195"/>
            <w:bookmarkStart w:id="328" w:name="_Toc416047279"/>
            <w:r>
              <w:rPr>
                <w:rFonts w:hint="eastAsia"/>
                <w:szCs w:val="21"/>
              </w:rPr>
              <w:t>4</w:t>
            </w:r>
          </w:p>
        </w:tc>
        <w:tc>
          <w:tcPr>
            <w:tcW w:w="1532" w:type="dxa"/>
            <w:noWrap/>
            <w:vAlign w:val="center"/>
          </w:tcPr>
          <w:p>
            <w:pPr>
              <w:jc w:val="center"/>
              <w:rPr>
                <w:kern w:val="0"/>
                <w:szCs w:val="21"/>
              </w:rPr>
            </w:pPr>
            <w:r>
              <w:rPr>
                <w:kern w:val="0"/>
                <w:szCs w:val="21"/>
              </w:rPr>
              <w:t>柴油</w:t>
            </w:r>
          </w:p>
        </w:tc>
        <w:tc>
          <w:tcPr>
            <w:tcW w:w="2040" w:type="dxa"/>
            <w:noWrap/>
            <w:vAlign w:val="center"/>
          </w:tcPr>
          <w:p>
            <w:pPr>
              <w:adjustRightInd w:val="0"/>
              <w:snapToGrid w:val="0"/>
              <w:ind w:right="-63" w:rightChars="-30"/>
              <w:rPr>
                <w:kern w:val="0"/>
                <w:szCs w:val="21"/>
              </w:rPr>
            </w:pPr>
            <w:r>
              <w:rPr>
                <w:rFonts w:hint="eastAsia" w:ascii="宋体" w:hAnsi="宋体"/>
                <w:szCs w:val="21"/>
              </w:rPr>
              <w:t>发电机使用</w:t>
            </w:r>
          </w:p>
        </w:tc>
        <w:tc>
          <w:tcPr>
            <w:tcW w:w="4605" w:type="dxa"/>
            <w:noWrap/>
            <w:vAlign w:val="center"/>
          </w:tcPr>
          <w:p>
            <w:pPr>
              <w:rPr>
                <w:spacing w:val="10"/>
                <w:szCs w:val="21"/>
              </w:rPr>
            </w:pPr>
            <w:r>
              <w:rPr>
                <w:spacing w:val="10"/>
                <w:szCs w:val="21"/>
              </w:rPr>
              <w:t>皮肤接触柴油可引起接触性皮炎、油性座疮；吸入可引起吸入性肺炎，能经胎盘进入胎儿血中。柴油废气可引起眼、鼻刺激症状、头昏及头痛。</w:t>
            </w:r>
          </w:p>
          <w:p>
            <w:pPr>
              <w:jc w:val="left"/>
              <w:rPr>
                <w:kern w:val="0"/>
                <w:szCs w:val="21"/>
              </w:rPr>
            </w:pPr>
            <w:r>
              <w:rPr>
                <w:spacing w:val="10"/>
                <w:szCs w:val="21"/>
              </w:rPr>
              <w:t>遇明火、高热或与氧化剂接触有可能引起燃烧爆炸的危险。若遇高热，容器内压增大，有开裂和爆炸的危险。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tblHeader/>
          <w:jc w:val="center"/>
        </w:trPr>
        <w:tc>
          <w:tcPr>
            <w:tcW w:w="802" w:type="dxa"/>
            <w:noWrap/>
            <w:vAlign w:val="center"/>
          </w:tcPr>
          <w:p>
            <w:pPr>
              <w:jc w:val="center"/>
              <w:rPr>
                <w:szCs w:val="21"/>
              </w:rPr>
            </w:pPr>
            <w:r>
              <w:rPr>
                <w:rFonts w:hint="eastAsia"/>
                <w:szCs w:val="21"/>
              </w:rPr>
              <w:t>5</w:t>
            </w:r>
          </w:p>
        </w:tc>
        <w:tc>
          <w:tcPr>
            <w:tcW w:w="1532" w:type="dxa"/>
            <w:noWrap/>
            <w:vAlign w:val="center"/>
          </w:tcPr>
          <w:p>
            <w:pPr>
              <w:jc w:val="center"/>
              <w:rPr>
                <w:kern w:val="0"/>
                <w:szCs w:val="21"/>
              </w:rPr>
            </w:pPr>
            <w:r>
              <w:rPr>
                <w:rFonts w:hint="eastAsia"/>
                <w:kern w:val="0"/>
                <w:szCs w:val="21"/>
              </w:rPr>
              <w:t>汽油</w:t>
            </w:r>
          </w:p>
        </w:tc>
        <w:tc>
          <w:tcPr>
            <w:tcW w:w="2040" w:type="dxa"/>
            <w:noWrap/>
            <w:vAlign w:val="center"/>
          </w:tcPr>
          <w:p>
            <w:pPr>
              <w:adjustRightInd w:val="0"/>
              <w:snapToGrid w:val="0"/>
              <w:ind w:right="-63" w:rightChars="-30"/>
              <w:rPr>
                <w:rFonts w:ascii="宋体" w:hAnsi="宋体"/>
                <w:szCs w:val="21"/>
              </w:rPr>
            </w:pPr>
            <w:r>
              <w:rPr>
                <w:rFonts w:hint="eastAsia"/>
                <w:sz w:val="24"/>
              </w:rPr>
              <w:t>发动机</w:t>
            </w:r>
            <w:r>
              <w:rPr>
                <w:sz w:val="24"/>
              </w:rPr>
              <w:t>热试台架测试</w:t>
            </w:r>
          </w:p>
        </w:tc>
        <w:tc>
          <w:tcPr>
            <w:tcW w:w="4605" w:type="dxa"/>
            <w:noWrap/>
            <w:vAlign w:val="center"/>
          </w:tcPr>
          <w:p>
            <w:pPr>
              <w:jc w:val="left"/>
              <w:rPr>
                <w:spacing w:val="10"/>
                <w:szCs w:val="21"/>
              </w:rPr>
            </w:pPr>
            <w:r>
              <w:rPr>
                <w:szCs w:val="21"/>
              </w:rPr>
              <w:t xml:space="preserve">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紊乱、周围神经病。严重中毒出现中毒性脑病，症状类似精神分裂症。皮肤损害。 </w:t>
            </w:r>
          </w:p>
        </w:tc>
      </w:tr>
    </w:tbl>
    <w:p/>
    <w:p>
      <w:pPr>
        <w:pStyle w:val="5"/>
        <w:keepNext w:val="0"/>
        <w:keepLines w:val="0"/>
        <w:snapToGrid w:val="0"/>
        <w:spacing w:before="0" w:after="0" w:line="360" w:lineRule="auto"/>
        <w:jc w:val="left"/>
        <w:rPr>
          <w:rFonts w:ascii="宋体" w:hAnsi="宋体" w:cs="宋体"/>
          <w:sz w:val="28"/>
          <w:szCs w:val="28"/>
        </w:rPr>
      </w:pPr>
      <w:bookmarkStart w:id="329" w:name="_Toc21145"/>
      <w:bookmarkStart w:id="330" w:name="_Toc5477043"/>
      <w:bookmarkStart w:id="331" w:name="_Toc369582824"/>
      <w:bookmarkStart w:id="332" w:name="_Toc428028639"/>
      <w:bookmarkStart w:id="333" w:name="_Toc42679883"/>
      <w:bookmarkStart w:id="334" w:name="_Toc5477413"/>
      <w:bookmarkStart w:id="335" w:name="_Toc364268934"/>
      <w:r>
        <w:rPr>
          <w:rFonts w:hint="eastAsia" w:ascii="宋体" w:hAnsi="宋体" w:cs="宋体"/>
          <w:sz w:val="28"/>
          <w:szCs w:val="28"/>
        </w:rPr>
        <w:t>3.4.3</w:t>
      </w:r>
      <w:r>
        <w:rPr>
          <w:rFonts w:hint="eastAsia" w:ascii="宋体" w:hAnsi="宋体" w:cs="宋体"/>
          <w:sz w:val="28"/>
          <w:szCs w:val="28"/>
          <w:lang w:val="en-US" w:eastAsia="zh-CN"/>
        </w:rPr>
        <w:t xml:space="preserve"> </w:t>
      </w:r>
      <w:r>
        <w:rPr>
          <w:rFonts w:hint="eastAsia" w:ascii="宋体" w:hAnsi="宋体" w:cs="宋体"/>
          <w:sz w:val="28"/>
          <w:szCs w:val="28"/>
        </w:rPr>
        <w:t>易制毒品辨识</w:t>
      </w:r>
      <w:bookmarkEnd w:id="329"/>
      <w:bookmarkEnd w:id="330"/>
      <w:bookmarkEnd w:id="331"/>
      <w:bookmarkEnd w:id="332"/>
      <w:bookmarkEnd w:id="333"/>
      <w:bookmarkEnd w:id="334"/>
      <w:bookmarkEnd w:id="335"/>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易制毒化学品管理条例（国务院令第445号）》和《非药品类易制毒化学品生产、经营许可办法（国家安全生产监督管理总局令第5号）》、《云南省易制毒特殊化学物品管理条例（云南省人大常委会公告第71号）》的相关规定，该项目不涉及易制毒品。</w:t>
      </w:r>
    </w:p>
    <w:p>
      <w:pPr>
        <w:pStyle w:val="5"/>
        <w:keepNext w:val="0"/>
        <w:keepLines w:val="0"/>
        <w:snapToGrid w:val="0"/>
        <w:spacing w:before="0" w:after="0" w:line="360" w:lineRule="auto"/>
        <w:jc w:val="left"/>
        <w:rPr>
          <w:rFonts w:ascii="宋体" w:hAnsi="宋体" w:cs="宋体"/>
          <w:sz w:val="28"/>
          <w:szCs w:val="28"/>
        </w:rPr>
      </w:pPr>
      <w:bookmarkStart w:id="336" w:name="_Toc42679884"/>
      <w:bookmarkStart w:id="337" w:name="_Toc27528"/>
      <w:r>
        <w:rPr>
          <w:rFonts w:hint="eastAsia" w:ascii="宋体" w:hAnsi="宋体" w:cs="宋体"/>
          <w:sz w:val="28"/>
          <w:szCs w:val="28"/>
        </w:rPr>
        <w:t>3.4.4</w:t>
      </w:r>
      <w:r>
        <w:rPr>
          <w:rFonts w:hint="eastAsia" w:ascii="宋体" w:hAnsi="宋体" w:cs="宋体"/>
          <w:sz w:val="28"/>
          <w:szCs w:val="28"/>
          <w:lang w:val="en-US" w:eastAsia="zh-CN"/>
        </w:rPr>
        <w:t xml:space="preserve"> </w:t>
      </w:r>
      <w:r>
        <w:rPr>
          <w:rFonts w:hint="eastAsia" w:ascii="宋体" w:hAnsi="宋体" w:cs="宋体"/>
          <w:sz w:val="28"/>
          <w:szCs w:val="28"/>
        </w:rPr>
        <w:t>易制爆化学品辨识</w:t>
      </w:r>
      <w:bookmarkEnd w:id="336"/>
      <w:bookmarkEnd w:id="337"/>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根据《易制爆危险化学品名录（2017版）》，本项目不涉及易制爆危险化学品。</w:t>
      </w:r>
    </w:p>
    <w:p>
      <w:pPr>
        <w:pStyle w:val="5"/>
        <w:keepNext w:val="0"/>
        <w:keepLines w:val="0"/>
        <w:snapToGrid w:val="0"/>
        <w:spacing w:before="0" w:after="0" w:line="360" w:lineRule="auto"/>
        <w:jc w:val="left"/>
        <w:rPr>
          <w:rFonts w:ascii="宋体" w:hAnsi="宋体" w:cs="宋体"/>
          <w:sz w:val="28"/>
          <w:szCs w:val="28"/>
        </w:rPr>
      </w:pPr>
      <w:bookmarkStart w:id="338" w:name="_Toc18580"/>
      <w:r>
        <w:rPr>
          <w:rFonts w:ascii="宋体" w:hAnsi="宋体" w:cs="宋体"/>
          <w:sz w:val="28"/>
          <w:szCs w:val="28"/>
        </w:rPr>
        <w:t>3.</w:t>
      </w:r>
      <w:r>
        <w:rPr>
          <w:rFonts w:hint="eastAsia" w:ascii="宋体" w:hAnsi="宋体" w:cs="宋体"/>
          <w:sz w:val="28"/>
          <w:szCs w:val="28"/>
        </w:rPr>
        <w:t>4</w:t>
      </w:r>
      <w:r>
        <w:rPr>
          <w:rFonts w:ascii="宋体" w:hAnsi="宋体" w:cs="宋体"/>
          <w:sz w:val="28"/>
          <w:szCs w:val="28"/>
        </w:rPr>
        <w:t>.</w:t>
      </w:r>
      <w:r>
        <w:rPr>
          <w:rFonts w:hint="eastAsia" w:ascii="宋体" w:hAnsi="宋体" w:cs="宋体"/>
          <w:sz w:val="28"/>
          <w:szCs w:val="28"/>
        </w:rPr>
        <w:t>5</w:t>
      </w:r>
      <w:r>
        <w:rPr>
          <w:rFonts w:hint="eastAsia" w:ascii="宋体" w:hAnsi="宋体" w:cs="宋体"/>
          <w:sz w:val="28"/>
          <w:szCs w:val="28"/>
          <w:lang w:val="en-US" w:eastAsia="zh-CN"/>
        </w:rPr>
        <w:t xml:space="preserve"> </w:t>
      </w:r>
      <w:r>
        <w:rPr>
          <w:rFonts w:hint="eastAsia" w:ascii="宋体" w:hAnsi="宋体" w:cs="宋体"/>
          <w:sz w:val="28"/>
          <w:szCs w:val="28"/>
        </w:rPr>
        <w:t>危险物质的理化特性</w:t>
      </w:r>
      <w:bookmarkEnd w:id="327"/>
      <w:bookmarkEnd w:id="328"/>
      <w:bookmarkEnd w:id="338"/>
    </w:p>
    <w:p>
      <w:pPr>
        <w:spacing w:line="500" w:lineRule="exact"/>
        <w:ind w:firstLine="482"/>
        <w:jc w:val="center"/>
        <w:rPr>
          <w:rFonts w:ascii="宋体" w:hAnsi="宋体" w:cs="宋体"/>
          <w:sz w:val="24"/>
        </w:rPr>
      </w:pPr>
      <w:r>
        <w:rPr>
          <w:rFonts w:hint="eastAsia" w:ascii="宋体" w:hAnsi="宋体" w:cs="宋体"/>
          <w:sz w:val="24"/>
        </w:rPr>
        <w:t>表3-2柴油理化特性表</w:t>
      </w:r>
    </w:p>
    <w:tbl>
      <w:tblPr>
        <w:tblStyle w:val="52"/>
        <w:tblW w:w="950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882"/>
        <w:gridCol w:w="1285"/>
        <w:gridCol w:w="405"/>
        <w:gridCol w:w="220"/>
        <w:gridCol w:w="712"/>
        <w:gridCol w:w="538"/>
        <w:gridCol w:w="480"/>
        <w:gridCol w:w="513"/>
        <w:gridCol w:w="884"/>
        <w:gridCol w:w="204"/>
        <w:gridCol w:w="15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autoSpaceDE w:val="0"/>
              <w:autoSpaceDN w:val="0"/>
              <w:snapToGrid w:val="0"/>
              <w:spacing w:line="240" w:lineRule="auto"/>
              <w:ind w:firstLine="600" w:firstLineChars="0"/>
              <w:jc w:val="left"/>
              <w:rPr>
                <w:spacing w:val="10"/>
                <w:sz w:val="21"/>
                <w:szCs w:val="21"/>
              </w:rPr>
            </w:pPr>
            <w:r>
              <w:rPr>
                <w:spacing w:val="10"/>
                <w:sz w:val="21"/>
                <w:szCs w:val="21"/>
              </w:rPr>
              <w:t>标识</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 xml:space="preserve">中文名 </w:t>
            </w:r>
          </w:p>
        </w:tc>
        <w:tc>
          <w:tcPr>
            <w:tcW w:w="3160" w:type="dxa"/>
            <w:gridSpan w:val="5"/>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rFonts w:hint="eastAsia"/>
                <w:spacing w:val="10"/>
                <w:sz w:val="21"/>
                <w:szCs w:val="21"/>
              </w:rPr>
              <w:t>柴油</w:t>
            </w:r>
          </w:p>
        </w:tc>
        <w:tc>
          <w:tcPr>
            <w:tcW w:w="1877"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危险货物编号</w:t>
            </w:r>
          </w:p>
        </w:tc>
        <w:tc>
          <w:tcPr>
            <w:tcW w:w="1748" w:type="dxa"/>
            <w:gridSpan w:val="2"/>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英文名</w:t>
            </w:r>
          </w:p>
        </w:tc>
        <w:tc>
          <w:tcPr>
            <w:tcW w:w="3160" w:type="dxa"/>
            <w:gridSpan w:val="5"/>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z w:val="21"/>
                <w:szCs w:val="21"/>
              </w:rPr>
              <w:t>Diesel oil</w:t>
            </w:r>
            <w:r>
              <w:rPr>
                <w:rFonts w:ascii="宋体" w:hAnsi="宋体"/>
                <w:sz w:val="21"/>
                <w:szCs w:val="21"/>
              </w:rPr>
              <w:t>；</w:t>
            </w:r>
            <w:r>
              <w:rPr>
                <w:sz w:val="21"/>
                <w:szCs w:val="21"/>
              </w:rPr>
              <w:t>Diesel fuel</w:t>
            </w:r>
          </w:p>
        </w:tc>
        <w:tc>
          <w:tcPr>
            <w:tcW w:w="1877"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UN</w:t>
            </w:r>
            <w:r>
              <w:rPr>
                <w:rFonts w:ascii="宋体" w:hAnsi="宋体"/>
                <w:spacing w:val="10"/>
                <w:sz w:val="21"/>
                <w:szCs w:val="21"/>
              </w:rPr>
              <w:t>编号</w:t>
            </w:r>
          </w:p>
        </w:tc>
        <w:tc>
          <w:tcPr>
            <w:tcW w:w="1748" w:type="dxa"/>
            <w:gridSpan w:val="2"/>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p>
          <w:p>
            <w:pPr>
              <w:autoSpaceDE w:val="0"/>
              <w:autoSpaceDN w:val="0"/>
              <w:snapToGrid w:val="0"/>
              <w:spacing w:line="240" w:lineRule="auto"/>
              <w:ind w:firstLine="0" w:firstLineChars="0"/>
              <w:jc w:val="left"/>
              <w:rPr>
                <w:spacing w:val="10"/>
                <w:sz w:val="21"/>
                <w:szCs w:val="21"/>
              </w:rPr>
            </w:pPr>
            <w:r>
              <w:rPr>
                <w:spacing w:val="10"/>
                <w:sz w:val="21"/>
                <w:szCs w:val="21"/>
              </w:rPr>
              <w:t>理化性质</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外观与性状</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z w:val="21"/>
                <w:szCs w:val="21"/>
              </w:rPr>
              <w:t>稍有粘性的浅黄至棕色液体。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主要成分</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烷烃、芳烃、烯烃等。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熔点（</w:t>
            </w:r>
            <w:r>
              <w:rPr>
                <w:rFonts w:ascii="宋体" w:hAnsi="宋体" w:cs="宋体"/>
                <w:spacing w:val="10"/>
                <w:sz w:val="21"/>
                <w:szCs w:val="21"/>
              </w:rPr>
              <w:t>℃</w:t>
            </w:r>
            <w:r>
              <w:rPr>
                <w:rFonts w:ascii="宋体" w:hAnsi="宋体"/>
                <w:spacing w:val="10"/>
                <w:sz w:val="21"/>
                <w:szCs w:val="21"/>
              </w:rPr>
              <w:t>）</w:t>
            </w:r>
          </w:p>
        </w:tc>
        <w:tc>
          <w:tcPr>
            <w:tcW w:w="1910"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-18</w:t>
            </w:r>
          </w:p>
        </w:tc>
        <w:tc>
          <w:tcPr>
            <w:tcW w:w="2243" w:type="dxa"/>
            <w:gridSpan w:val="4"/>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相对密度(</w:t>
            </w:r>
            <w:r>
              <w:rPr>
                <w:rFonts w:ascii="宋体" w:hAnsi="宋体"/>
                <w:spacing w:val="10"/>
                <w:sz w:val="21"/>
                <w:szCs w:val="21"/>
              </w:rPr>
              <w:t>水</w:t>
            </w:r>
            <w:r>
              <w:rPr>
                <w:spacing w:val="10"/>
                <w:sz w:val="21"/>
                <w:szCs w:val="21"/>
              </w:rPr>
              <w:t>=1)</w:t>
            </w:r>
          </w:p>
        </w:tc>
        <w:tc>
          <w:tcPr>
            <w:tcW w:w="2632" w:type="dxa"/>
            <w:gridSpan w:val="3"/>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0.87</w:t>
            </w:r>
            <w:r>
              <w:rPr>
                <w:rFonts w:ascii="宋体" w:hAnsi="宋体"/>
                <w:sz w:val="21"/>
                <w:szCs w:val="21"/>
              </w:rPr>
              <w:t>～</w:t>
            </w:r>
            <w:r>
              <w:rPr>
                <w:sz w:val="21"/>
                <w:szCs w:val="21"/>
              </w:rPr>
              <w:t>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沸点（</w:t>
            </w:r>
            <w:r>
              <w:rPr>
                <w:rFonts w:ascii="宋体" w:hAnsi="宋体" w:cs="宋体"/>
                <w:spacing w:val="10"/>
                <w:sz w:val="21"/>
                <w:szCs w:val="21"/>
              </w:rPr>
              <w:t>℃</w:t>
            </w:r>
            <w:r>
              <w:rPr>
                <w:rFonts w:ascii="宋体" w:hAnsi="宋体"/>
                <w:spacing w:val="10"/>
                <w:sz w:val="21"/>
                <w:szCs w:val="21"/>
              </w:rPr>
              <w:t>）</w:t>
            </w:r>
          </w:p>
        </w:tc>
        <w:tc>
          <w:tcPr>
            <w:tcW w:w="1910"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282</w:t>
            </w:r>
            <w:r>
              <w:rPr>
                <w:rFonts w:ascii="宋体" w:hAnsi="宋体"/>
                <w:spacing w:val="10"/>
                <w:sz w:val="21"/>
                <w:szCs w:val="21"/>
              </w:rPr>
              <w:t>～</w:t>
            </w:r>
            <w:r>
              <w:rPr>
                <w:spacing w:val="10"/>
                <w:sz w:val="21"/>
                <w:szCs w:val="21"/>
              </w:rPr>
              <w:t>338</w:t>
            </w:r>
          </w:p>
        </w:tc>
        <w:tc>
          <w:tcPr>
            <w:tcW w:w="2243" w:type="dxa"/>
            <w:gridSpan w:val="4"/>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饱和蒸汽压（kPa</w:t>
            </w:r>
            <w:r>
              <w:rPr>
                <w:rFonts w:ascii="宋体" w:hAnsi="宋体"/>
                <w:spacing w:val="10"/>
                <w:sz w:val="21"/>
                <w:szCs w:val="21"/>
              </w:rPr>
              <w:t>）</w:t>
            </w:r>
          </w:p>
        </w:tc>
        <w:tc>
          <w:tcPr>
            <w:tcW w:w="2632"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主要用途</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z w:val="21"/>
                <w:szCs w:val="21"/>
              </w:rPr>
              <w:t>用作柴油机的燃料。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健康危害</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侵入途径</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吸入、食入、经皮吸收。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健康危害</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皮肤接触可为主要吸收途径，可致急性肾脏损害。柴油可引起接触性皮炎、油性痤疮。吸入其雾滴或液体呛入可引起吸入性肺炎。能经胎盘进入胎儿血中。柴油废气可引起眼、鼻刺激症状，头晕及头痛。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p>
          <w:p>
            <w:pPr>
              <w:autoSpaceDE w:val="0"/>
              <w:autoSpaceDN w:val="0"/>
              <w:snapToGrid w:val="0"/>
              <w:spacing w:line="240" w:lineRule="auto"/>
              <w:ind w:firstLine="0" w:firstLineChars="0"/>
              <w:jc w:val="left"/>
              <w:rPr>
                <w:spacing w:val="10"/>
                <w:sz w:val="21"/>
                <w:szCs w:val="21"/>
              </w:rPr>
            </w:pPr>
            <w:r>
              <w:rPr>
                <w:spacing w:val="10"/>
                <w:sz w:val="21"/>
                <w:szCs w:val="21"/>
              </w:rPr>
              <w:t>燃烧爆炸危险性</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rFonts w:hint="eastAsia" w:ascii="宋体" w:hAnsi="宋体"/>
                <w:spacing w:val="10"/>
                <w:sz w:val="21"/>
                <w:szCs w:val="21"/>
              </w:rPr>
              <w:t xml:space="preserve">   </w:t>
            </w:r>
            <w:r>
              <w:rPr>
                <w:spacing w:val="10"/>
                <w:sz w:val="21"/>
                <w:szCs w:val="21"/>
              </w:rPr>
              <w:t>燃烧性</w:t>
            </w:r>
          </w:p>
        </w:tc>
        <w:tc>
          <w:tcPr>
            <w:tcW w:w="1690" w:type="dxa"/>
            <w:gridSpan w:val="2"/>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易燃</w:t>
            </w:r>
          </w:p>
        </w:tc>
        <w:tc>
          <w:tcPr>
            <w:tcW w:w="2463" w:type="dxa"/>
            <w:gridSpan w:val="5"/>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有害燃烧产物</w:t>
            </w:r>
          </w:p>
        </w:tc>
        <w:tc>
          <w:tcPr>
            <w:tcW w:w="2632"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z w:val="21"/>
                <w:szCs w:val="21"/>
              </w:rPr>
              <w:t>一氧化碳、二氧化碳。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闪点(</w:t>
            </w:r>
            <w:r>
              <w:rPr>
                <w:rFonts w:ascii="宋体" w:hAnsi="宋体" w:cs="宋体"/>
                <w:spacing w:val="10"/>
                <w:sz w:val="21"/>
                <w:szCs w:val="21"/>
              </w:rPr>
              <w:t>℃</w:t>
            </w:r>
            <w:r>
              <w:rPr>
                <w:spacing w:val="10"/>
                <w:sz w:val="21"/>
                <w:szCs w:val="21"/>
              </w:rPr>
              <w:t>)</w:t>
            </w:r>
          </w:p>
        </w:tc>
        <w:tc>
          <w:tcPr>
            <w:tcW w:w="1690" w:type="dxa"/>
            <w:gridSpan w:val="2"/>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rFonts w:hint="eastAsia" w:ascii="宋体" w:hAnsi="宋体"/>
                <w:spacing w:val="10"/>
                <w:sz w:val="21"/>
                <w:szCs w:val="21"/>
              </w:rPr>
              <w:t>大于</w:t>
            </w:r>
            <w:r>
              <w:rPr>
                <w:rFonts w:hint="eastAsia"/>
                <w:spacing w:val="10"/>
                <w:sz w:val="21"/>
                <w:szCs w:val="21"/>
              </w:rPr>
              <w:t>60</w:t>
            </w:r>
          </w:p>
        </w:tc>
        <w:tc>
          <w:tcPr>
            <w:tcW w:w="2463" w:type="dxa"/>
            <w:gridSpan w:val="5"/>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爆炸上限（v%</w:t>
            </w:r>
            <w:r>
              <w:rPr>
                <w:rFonts w:ascii="宋体" w:hAnsi="宋体"/>
                <w:spacing w:val="10"/>
                <w:sz w:val="21"/>
                <w:szCs w:val="21"/>
              </w:rPr>
              <w:t>）</w:t>
            </w:r>
          </w:p>
        </w:tc>
        <w:tc>
          <w:tcPr>
            <w:tcW w:w="2632"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引燃温度(</w:t>
            </w:r>
            <w:r>
              <w:rPr>
                <w:rFonts w:ascii="宋体" w:hAnsi="宋体" w:cs="宋体"/>
                <w:spacing w:val="10"/>
                <w:sz w:val="21"/>
                <w:szCs w:val="21"/>
              </w:rPr>
              <w:t>℃</w:t>
            </w:r>
            <w:r>
              <w:rPr>
                <w:spacing w:val="10"/>
                <w:sz w:val="21"/>
                <w:szCs w:val="21"/>
              </w:rPr>
              <w:t>)</w:t>
            </w:r>
          </w:p>
        </w:tc>
        <w:tc>
          <w:tcPr>
            <w:tcW w:w="1690" w:type="dxa"/>
            <w:gridSpan w:val="2"/>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257</w:t>
            </w:r>
          </w:p>
        </w:tc>
        <w:tc>
          <w:tcPr>
            <w:tcW w:w="2463" w:type="dxa"/>
            <w:gridSpan w:val="5"/>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爆炸下限（v%</w:t>
            </w:r>
            <w:r>
              <w:rPr>
                <w:rFonts w:ascii="宋体" w:hAnsi="宋体"/>
                <w:spacing w:val="10"/>
                <w:sz w:val="21"/>
                <w:szCs w:val="21"/>
              </w:rPr>
              <w:t>）</w:t>
            </w:r>
          </w:p>
        </w:tc>
        <w:tc>
          <w:tcPr>
            <w:tcW w:w="2632"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危险特性</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z w:val="21"/>
                <w:szCs w:val="21"/>
              </w:rPr>
              <w:t>遇明火、高热或与氧化剂接触，有引起燃烧爆炸的危险。若遇高热，容器内压增大，有开裂和爆炸的危险。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建规火险分级</w:t>
            </w:r>
          </w:p>
        </w:tc>
        <w:tc>
          <w:tcPr>
            <w:tcW w:w="1285"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乙</w:t>
            </w:r>
          </w:p>
        </w:tc>
        <w:tc>
          <w:tcPr>
            <w:tcW w:w="1337"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稳定性</w:t>
            </w:r>
          </w:p>
        </w:tc>
        <w:tc>
          <w:tcPr>
            <w:tcW w:w="1018" w:type="dxa"/>
            <w:gridSpan w:val="2"/>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稳定</w:t>
            </w:r>
          </w:p>
        </w:tc>
        <w:tc>
          <w:tcPr>
            <w:tcW w:w="1601" w:type="dxa"/>
            <w:gridSpan w:val="3"/>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聚合危害</w:t>
            </w:r>
          </w:p>
        </w:tc>
        <w:tc>
          <w:tcPr>
            <w:tcW w:w="1544"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不能出现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禁忌物</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z w:val="21"/>
                <w:szCs w:val="21"/>
              </w:rPr>
              <w:t>强氧化剂、卤素。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2"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灭火方法</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widowControl/>
              <w:autoSpaceDE w:val="0"/>
              <w:autoSpaceDN w:val="0"/>
              <w:snapToGrid w:val="0"/>
              <w:spacing w:line="240" w:lineRule="auto"/>
              <w:ind w:firstLine="0" w:firstLineChars="0"/>
              <w:jc w:val="left"/>
              <w:rPr>
                <w:spacing w:val="10"/>
                <w:sz w:val="21"/>
                <w:szCs w:val="21"/>
              </w:rPr>
            </w:pPr>
            <w:r>
              <w:rPr>
                <w:spacing w:val="10"/>
                <w:sz w:val="21"/>
                <w:szCs w:val="21"/>
              </w:rPr>
              <w:t>毒理学资料</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急性毒性</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 xml:space="preserve"> LD</w:t>
            </w:r>
            <w:r>
              <w:rPr>
                <w:sz w:val="21"/>
                <w:szCs w:val="21"/>
                <w:vertAlign w:val="subscript"/>
              </w:rPr>
              <w:t>50</w:t>
            </w:r>
            <w:r>
              <w:rPr>
                <w:sz w:val="21"/>
                <w:szCs w:val="21"/>
              </w:rPr>
              <w:t>：无资料</w:t>
            </w:r>
            <w:r>
              <w:rPr>
                <w:rFonts w:hint="eastAsia" w:ascii="宋体" w:hAnsi="宋体"/>
                <w:sz w:val="21"/>
                <w:szCs w:val="21"/>
              </w:rPr>
              <w:t xml:space="preserve">  </w:t>
            </w:r>
            <w:r>
              <w:rPr>
                <w:sz w:val="21"/>
                <w:szCs w:val="21"/>
              </w:rPr>
              <w:t xml:space="preserve"> LC</w:t>
            </w:r>
            <w:r>
              <w:rPr>
                <w:sz w:val="21"/>
                <w:szCs w:val="21"/>
                <w:vertAlign w:val="subscript"/>
              </w:rPr>
              <w:t>50</w:t>
            </w:r>
            <w:r>
              <w:rPr>
                <w:sz w:val="21"/>
                <w:szCs w:val="21"/>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其他有害作用</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该物质对环境有危害，建议不要让其进入环境。对水体和大气可造成污染，破坏水生生物呼吸系统。对海藻应给予特别注意。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废弃处置方法</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 xml:space="preserve"> 处置前应参阅国家和地方有关法规。建议用焚烧法处置。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widowControl/>
              <w:autoSpaceDE w:val="0"/>
              <w:autoSpaceDN w:val="0"/>
              <w:snapToGrid w:val="0"/>
              <w:spacing w:line="240" w:lineRule="auto"/>
              <w:ind w:firstLine="0" w:firstLineChars="0"/>
              <w:jc w:val="left"/>
              <w:rPr>
                <w:spacing w:val="10"/>
                <w:sz w:val="21"/>
                <w:szCs w:val="21"/>
              </w:rPr>
            </w:pPr>
            <w:r>
              <w:rPr>
                <w:spacing w:val="10"/>
                <w:sz w:val="21"/>
                <w:szCs w:val="21"/>
              </w:rPr>
              <w:t>包装与储运</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包装方法</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储存注意事项</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储存于阴凉、通风的库房。远离火种、热源。应与氧化剂、卤素分开存放，切忌混储。采用防爆型照明、通风设施。禁止使用易产生火花的机械设备和工具。储区应备有泄漏应急处理设备和合适的收容材料。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9"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运输注意事项</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 xml:space="preserve">运输前应先检查包装容器是否完整、密封，运输过程中要确保容器不泄漏、不倒塌、不坠落、不损坏。运输时运输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6"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操作注意事项</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密闭操作，注意通风。操作人员必须经过专门培训，严格遵守操作规程。建议操作人员佩戴自吸过滤式防毒面具（半面罩），戴化学安全防护眼镜，戴橡胶耐油手套。远离火种、热源，工作场所严禁吸烟。使用防爆型的通风系统和设备。防止蒸气泄漏到工作场所空气中。避免与氧化剂、卤素接触。充装要控制流速，防止静电积聚。搬运时要轻装轻卸，防止包装及容器损坏。配备相应品种和数量的消防器材及泄漏应急处理设备。倒空的容器可能残留有害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widowControl/>
              <w:autoSpaceDE w:val="0"/>
              <w:autoSpaceDN w:val="0"/>
              <w:snapToGrid w:val="0"/>
              <w:spacing w:line="240" w:lineRule="auto"/>
              <w:ind w:firstLine="0" w:firstLineChars="0"/>
              <w:jc w:val="left"/>
              <w:rPr>
                <w:spacing w:val="10"/>
                <w:sz w:val="21"/>
                <w:szCs w:val="21"/>
              </w:rPr>
            </w:pPr>
            <w:r>
              <w:rPr>
                <w:spacing w:val="10"/>
                <w:sz w:val="21"/>
                <w:szCs w:val="21"/>
              </w:rPr>
              <w:t>急救措施</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皮肤接触</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立即脱去污染的衣着，用肥皂水和清水彻底冲洗皮肤。就医。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眼睛接触</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提起眼睑，用流动清水或生理盐水冲洗。就医。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吸入</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迅速脱离现场至空气新鲜处。保持呼吸道通畅。如呼吸困难，给输氧。如呼吸停止，立即进行人工呼吸。就医。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食入</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尽快彻底洗胃。就医。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restart"/>
            <w:tcBorders>
              <w:tl2br w:val="nil"/>
              <w:tr2bl w:val="nil"/>
            </w:tcBorders>
            <w:noWrap w:val="0"/>
            <w:vAlign w:val="center"/>
          </w:tcPr>
          <w:p>
            <w:pPr>
              <w:widowControl/>
              <w:autoSpaceDE w:val="0"/>
              <w:autoSpaceDN w:val="0"/>
              <w:snapToGrid w:val="0"/>
              <w:spacing w:line="240" w:lineRule="auto"/>
              <w:ind w:firstLine="0" w:firstLineChars="0"/>
              <w:jc w:val="left"/>
              <w:rPr>
                <w:spacing w:val="10"/>
                <w:sz w:val="21"/>
                <w:szCs w:val="21"/>
              </w:rPr>
            </w:pPr>
            <w:r>
              <w:rPr>
                <w:spacing w:val="10"/>
                <w:sz w:val="21"/>
                <w:szCs w:val="21"/>
              </w:rPr>
              <w:t>防护措施</w:t>
            </w: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工程控制</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生产过程密闭，全面通风。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呼吸系统防护</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空气中浓度超标时，建议佩戴自吸过滤式防毒面具（半面罩）。紧急事态抢救或撤离时，应该佩戴空气呼吸器。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眼睛防护</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戴化学安全防护眼镜。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身体防护</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穿一般作业防护服。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手防护</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戴橡胶耐油手套。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34" w:type="dxa"/>
            <w:vMerge w:val="continue"/>
            <w:tcBorders>
              <w:tl2br w:val="nil"/>
              <w:tr2bl w:val="nil"/>
            </w:tcBorders>
            <w:noWrap w:val="0"/>
            <w:vAlign w:val="center"/>
          </w:tcPr>
          <w:p>
            <w:pPr>
              <w:widowControl/>
              <w:spacing w:line="240" w:lineRule="auto"/>
              <w:ind w:firstLine="0" w:firstLineChars="0"/>
              <w:jc w:val="left"/>
              <w:rPr>
                <w:spacing w:val="10"/>
                <w:sz w:val="21"/>
                <w:szCs w:val="21"/>
              </w:rPr>
            </w:pPr>
          </w:p>
        </w:tc>
        <w:tc>
          <w:tcPr>
            <w:tcW w:w="1882" w:type="dxa"/>
            <w:tcBorders>
              <w:tl2br w:val="nil"/>
              <w:tr2bl w:val="nil"/>
            </w:tcBorders>
            <w:noWrap w:val="0"/>
            <w:vAlign w:val="center"/>
          </w:tcPr>
          <w:p>
            <w:pPr>
              <w:autoSpaceDE w:val="0"/>
              <w:autoSpaceDN w:val="0"/>
              <w:snapToGrid w:val="0"/>
              <w:spacing w:line="240" w:lineRule="auto"/>
              <w:ind w:firstLine="0" w:firstLineChars="0"/>
              <w:jc w:val="left"/>
              <w:rPr>
                <w:spacing w:val="10"/>
                <w:sz w:val="21"/>
                <w:szCs w:val="21"/>
              </w:rPr>
            </w:pPr>
            <w:r>
              <w:rPr>
                <w:spacing w:val="10"/>
                <w:sz w:val="21"/>
                <w:szCs w:val="21"/>
              </w:rPr>
              <w:t>其他防护</w:t>
            </w:r>
          </w:p>
        </w:tc>
        <w:tc>
          <w:tcPr>
            <w:tcW w:w="6785" w:type="dxa"/>
            <w:gridSpan w:val="10"/>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工作现场严禁吸烟。避免长期反复接触。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16" w:hRule="atLeast"/>
          <w:jc w:val="center"/>
        </w:trPr>
        <w:tc>
          <w:tcPr>
            <w:tcW w:w="834" w:type="dxa"/>
            <w:tcBorders>
              <w:tl2br w:val="nil"/>
              <w:tr2bl w:val="nil"/>
            </w:tcBorders>
            <w:noWrap w:val="0"/>
            <w:vAlign w:val="center"/>
          </w:tcPr>
          <w:p>
            <w:pPr>
              <w:widowControl/>
              <w:autoSpaceDE w:val="0"/>
              <w:autoSpaceDN w:val="0"/>
              <w:snapToGrid w:val="0"/>
              <w:spacing w:line="240" w:lineRule="auto"/>
              <w:ind w:firstLine="0" w:firstLineChars="0"/>
              <w:jc w:val="left"/>
              <w:rPr>
                <w:spacing w:val="10"/>
                <w:sz w:val="21"/>
                <w:szCs w:val="21"/>
              </w:rPr>
            </w:pPr>
            <w:r>
              <w:rPr>
                <w:spacing w:val="10"/>
                <w:sz w:val="21"/>
                <w:szCs w:val="21"/>
              </w:rPr>
              <w:t>泄</w:t>
            </w:r>
            <w:r>
              <w:rPr>
                <w:rFonts w:hint="eastAsia" w:ascii="宋体" w:hAnsi="宋体"/>
                <w:spacing w:val="10"/>
                <w:sz w:val="21"/>
                <w:szCs w:val="21"/>
              </w:rPr>
              <w:t>漏</w:t>
            </w:r>
            <w:r>
              <w:rPr>
                <w:spacing w:val="10"/>
                <w:sz w:val="21"/>
                <w:szCs w:val="21"/>
              </w:rPr>
              <w:t>应急处理</w:t>
            </w:r>
          </w:p>
        </w:tc>
        <w:tc>
          <w:tcPr>
            <w:tcW w:w="8667" w:type="dxa"/>
            <w:gridSpan w:val="11"/>
            <w:tcBorders>
              <w:tl2br w:val="nil"/>
              <w:tr2bl w:val="nil"/>
            </w:tcBorders>
            <w:noWrap w:val="0"/>
            <w:vAlign w:val="center"/>
          </w:tcPr>
          <w:p>
            <w:pPr>
              <w:autoSpaceDE w:val="0"/>
              <w:autoSpaceDN w:val="0"/>
              <w:snapToGrid w:val="0"/>
              <w:spacing w:line="240" w:lineRule="auto"/>
              <w:ind w:firstLine="0" w:firstLineChars="0"/>
              <w:jc w:val="left"/>
              <w:rPr>
                <w:sz w:val="21"/>
                <w:szCs w:val="21"/>
              </w:rPr>
            </w:pPr>
            <w:r>
              <w:rPr>
                <w:sz w:val="21"/>
                <w:szCs w:val="21"/>
              </w:rPr>
              <w:t>迅速撤离泄漏污染区人员至安全区，并进行隔离，严格限制出入。切断火源。建议应急处理人员戴自给正压式呼吸器，穿一般作业工作服。尽可能切断泄漏源。防止流入下水道、排洪沟等有限空间。小量泄漏：用活性炭或其它惰性材料吸收。大量泄漏：构筑围堤或挖坑收容。用泵转移至槽车或专用收集器内，回收或运至废物处理场所处置。</w:t>
            </w:r>
          </w:p>
        </w:tc>
      </w:tr>
    </w:tbl>
    <w:p>
      <w:pPr>
        <w:spacing w:line="500" w:lineRule="exact"/>
        <w:ind w:firstLine="482"/>
        <w:jc w:val="center"/>
        <w:rPr>
          <w:rFonts w:hint="eastAsia" w:ascii="宋体" w:hAnsi="宋体" w:cs="宋体"/>
          <w:sz w:val="24"/>
        </w:rPr>
      </w:pPr>
    </w:p>
    <w:p>
      <w:pPr>
        <w:spacing w:line="500" w:lineRule="exact"/>
        <w:ind w:firstLine="482"/>
        <w:jc w:val="center"/>
        <w:rPr>
          <w:rFonts w:ascii="宋体" w:hAnsi="宋体" w:cs="宋体"/>
          <w:sz w:val="24"/>
        </w:rPr>
      </w:pPr>
      <w:r>
        <w:rPr>
          <w:rFonts w:hint="eastAsia" w:ascii="宋体" w:hAnsi="宋体" w:cs="宋体"/>
          <w:sz w:val="24"/>
        </w:rPr>
        <w:t>表3-3油漆理化特性表</w:t>
      </w:r>
    </w:p>
    <w:tbl>
      <w:tblPr>
        <w:tblStyle w:val="52"/>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3068"/>
        <w:gridCol w:w="1089"/>
        <w:gridCol w:w="2028"/>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514" w:type="dxa"/>
            <w:vMerge w:val="restart"/>
            <w:tcBorders>
              <w:tl2br w:val="nil"/>
              <w:tr2bl w:val="nil"/>
            </w:tcBorders>
            <w:vAlign w:val="center"/>
          </w:tcPr>
          <w:p>
            <w:pPr>
              <w:jc w:val="center"/>
              <w:rPr>
                <w:rFonts w:ascii="宋体" w:hAnsi="宋体" w:cs="宋体"/>
                <w:szCs w:val="21"/>
              </w:rPr>
            </w:pPr>
            <w:r>
              <w:rPr>
                <w:rFonts w:hint="eastAsia" w:ascii="宋体" w:hAnsi="宋体" w:cs="宋体"/>
                <w:szCs w:val="21"/>
              </w:rPr>
              <w:t>标识</w:t>
            </w:r>
          </w:p>
        </w:tc>
        <w:tc>
          <w:tcPr>
            <w:tcW w:w="4157" w:type="dxa"/>
            <w:gridSpan w:val="2"/>
            <w:tcBorders>
              <w:tl2br w:val="nil"/>
              <w:tr2bl w:val="nil"/>
            </w:tcBorders>
            <w:vAlign w:val="center"/>
          </w:tcPr>
          <w:p>
            <w:pPr>
              <w:rPr>
                <w:rFonts w:ascii="宋体" w:hAnsi="宋体" w:cs="宋体"/>
                <w:szCs w:val="21"/>
              </w:rPr>
            </w:pPr>
            <w:r>
              <w:rPr>
                <w:rFonts w:hint="eastAsia" w:ascii="宋体" w:hAnsi="宋体" w:cs="宋体"/>
                <w:szCs w:val="21"/>
              </w:rPr>
              <w:t>中文名： 油漆</w:t>
            </w:r>
          </w:p>
        </w:tc>
        <w:tc>
          <w:tcPr>
            <w:tcW w:w="4948" w:type="dxa"/>
            <w:gridSpan w:val="2"/>
            <w:tcBorders>
              <w:tl2br w:val="nil"/>
              <w:tr2bl w:val="nil"/>
            </w:tcBorders>
            <w:vAlign w:val="center"/>
          </w:tcPr>
          <w:p>
            <w:pPr>
              <w:rPr>
                <w:rFonts w:ascii="宋体" w:hAnsi="宋体" w:cs="宋体"/>
                <w:szCs w:val="21"/>
              </w:rPr>
            </w:pPr>
            <w:r>
              <w:rPr>
                <w:rFonts w:hint="eastAsia" w:ascii="宋体" w:hAnsi="宋体" w:cs="宋体"/>
                <w:szCs w:val="21"/>
              </w:rPr>
              <w:t>英文名： Nitrocellulose wooden furniture varnish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3068" w:type="dxa"/>
            <w:tcBorders>
              <w:tl2br w:val="nil"/>
              <w:tr2bl w:val="nil"/>
            </w:tcBorders>
            <w:vAlign w:val="center"/>
          </w:tcPr>
          <w:p>
            <w:pPr>
              <w:rPr>
                <w:rFonts w:ascii="宋体" w:hAnsi="宋体" w:cs="宋体"/>
                <w:szCs w:val="21"/>
              </w:rPr>
            </w:pPr>
            <w:r>
              <w:rPr>
                <w:rFonts w:hint="eastAsia" w:ascii="宋体" w:hAnsi="宋体" w:cs="宋体"/>
                <w:szCs w:val="21"/>
              </w:rPr>
              <w:t>分子式：</w:t>
            </w:r>
          </w:p>
        </w:tc>
        <w:tc>
          <w:tcPr>
            <w:tcW w:w="3117" w:type="dxa"/>
            <w:gridSpan w:val="2"/>
            <w:tcBorders>
              <w:tl2br w:val="nil"/>
              <w:tr2bl w:val="nil"/>
            </w:tcBorders>
            <w:vAlign w:val="center"/>
          </w:tcPr>
          <w:p>
            <w:pPr>
              <w:pStyle w:val="110"/>
              <w:rPr>
                <w:rFonts w:ascii="宋体" w:hAnsi="宋体" w:cs="宋体"/>
                <w:szCs w:val="21"/>
              </w:rPr>
            </w:pPr>
            <w:r>
              <w:rPr>
                <w:rFonts w:hint="eastAsia" w:ascii="宋体" w:hAnsi="宋体" w:cs="宋体"/>
                <w:szCs w:val="21"/>
              </w:rPr>
              <w:t>分子量：</w:t>
            </w:r>
          </w:p>
        </w:tc>
        <w:tc>
          <w:tcPr>
            <w:tcW w:w="2920" w:type="dxa"/>
            <w:tcBorders>
              <w:tl2br w:val="nil"/>
              <w:tr2bl w:val="nil"/>
            </w:tcBorders>
            <w:vAlign w:val="center"/>
          </w:tcPr>
          <w:p>
            <w:pPr>
              <w:rPr>
                <w:rFonts w:ascii="宋体" w:hAnsi="宋体" w:cs="宋体"/>
                <w:szCs w:val="21"/>
              </w:rPr>
            </w:pPr>
            <w:r>
              <w:rPr>
                <w:rFonts w:hint="eastAsia" w:ascii="宋体" w:hAnsi="宋体" w:cs="宋体"/>
                <w:szCs w:val="21"/>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4157" w:type="dxa"/>
            <w:gridSpan w:val="2"/>
            <w:tcBorders>
              <w:tl2br w:val="nil"/>
              <w:tr2bl w:val="nil"/>
            </w:tcBorders>
            <w:vAlign w:val="center"/>
          </w:tcPr>
          <w:p>
            <w:pPr>
              <w:rPr>
                <w:rFonts w:ascii="宋体" w:hAnsi="宋体" w:cs="宋体"/>
                <w:szCs w:val="21"/>
              </w:rPr>
            </w:pPr>
            <w:r>
              <w:rPr>
                <w:rFonts w:hint="eastAsia" w:ascii="宋体" w:hAnsi="宋体" w:cs="宋体"/>
                <w:szCs w:val="21"/>
              </w:rPr>
              <w:t>危险货物编号： 32198</w:t>
            </w:r>
          </w:p>
        </w:tc>
        <w:tc>
          <w:tcPr>
            <w:tcW w:w="4948" w:type="dxa"/>
            <w:gridSpan w:val="2"/>
            <w:tcBorders>
              <w:tl2br w:val="nil"/>
              <w:tr2bl w:val="nil"/>
            </w:tcBorders>
            <w:vAlign w:val="center"/>
          </w:tcPr>
          <w:p>
            <w:pPr>
              <w:rPr>
                <w:rFonts w:ascii="宋体" w:hAnsi="宋体" w:cs="宋体"/>
                <w:szCs w:val="21"/>
              </w:rPr>
            </w:pPr>
            <w:r>
              <w:rPr>
                <w:rFonts w:hint="eastAsia" w:ascii="宋体" w:hAnsi="宋体" w:cs="宋体"/>
                <w:szCs w:val="21"/>
              </w:rPr>
              <w:t>UN  No.1139、1263、1293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14" w:type="dxa"/>
            <w:vMerge w:val="restart"/>
            <w:tcBorders>
              <w:tl2br w:val="nil"/>
              <w:tr2bl w:val="nil"/>
            </w:tcBorders>
            <w:vAlign w:val="center"/>
          </w:tcPr>
          <w:p>
            <w:pPr>
              <w:jc w:val="center"/>
              <w:rPr>
                <w:rFonts w:ascii="宋体" w:hAnsi="宋体" w:cs="宋体"/>
                <w:szCs w:val="21"/>
              </w:rPr>
            </w:pPr>
            <w:r>
              <w:rPr>
                <w:rFonts w:hint="eastAsia" w:ascii="宋体" w:hAnsi="宋体" w:cs="宋体"/>
                <w:szCs w:val="21"/>
              </w:rPr>
              <w:t>燃烧爆炸危险性</w:t>
            </w:r>
          </w:p>
        </w:tc>
        <w:tc>
          <w:tcPr>
            <w:tcW w:w="4157" w:type="dxa"/>
            <w:gridSpan w:val="2"/>
            <w:tcBorders>
              <w:tl2br w:val="nil"/>
              <w:tr2bl w:val="nil"/>
            </w:tcBorders>
            <w:vAlign w:val="center"/>
          </w:tcPr>
          <w:p>
            <w:pPr>
              <w:rPr>
                <w:rFonts w:ascii="宋体" w:hAnsi="宋体" w:cs="宋体"/>
                <w:szCs w:val="21"/>
              </w:rPr>
            </w:pPr>
            <w:r>
              <w:rPr>
                <w:rFonts w:hint="eastAsia" w:ascii="宋体" w:hAnsi="宋体" w:cs="宋体"/>
                <w:szCs w:val="21"/>
              </w:rPr>
              <w:t>燃烧性： 易燃</w:t>
            </w:r>
          </w:p>
        </w:tc>
        <w:tc>
          <w:tcPr>
            <w:tcW w:w="4948" w:type="dxa"/>
            <w:gridSpan w:val="2"/>
            <w:tcBorders>
              <w:tl2br w:val="nil"/>
              <w:tr2bl w:val="nil"/>
            </w:tcBorders>
            <w:vAlign w:val="center"/>
          </w:tcPr>
          <w:p>
            <w:pPr>
              <w:rPr>
                <w:rFonts w:ascii="宋体" w:hAnsi="宋体" w:cs="宋体"/>
                <w:szCs w:val="21"/>
              </w:rPr>
            </w:pPr>
            <w:r>
              <w:rPr>
                <w:rFonts w:hint="eastAsia" w:ascii="宋体" w:hAnsi="宋体" w:cs="宋体"/>
                <w:szCs w:val="21"/>
              </w:rPr>
              <w:t xml:space="preserve">燃烧分解产物：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4157" w:type="dxa"/>
            <w:gridSpan w:val="2"/>
            <w:tcBorders>
              <w:tl2br w:val="nil"/>
              <w:tr2bl w:val="nil"/>
            </w:tcBorders>
            <w:vAlign w:val="center"/>
          </w:tcPr>
          <w:p>
            <w:pPr>
              <w:rPr>
                <w:rFonts w:ascii="宋体" w:hAnsi="宋体" w:cs="宋体"/>
                <w:szCs w:val="21"/>
              </w:rPr>
            </w:pPr>
            <w:r>
              <w:rPr>
                <w:rFonts w:hint="eastAsia" w:ascii="宋体" w:hAnsi="宋体" w:cs="宋体"/>
                <w:szCs w:val="21"/>
              </w:rPr>
              <w:t>建规火险分级：甲</w:t>
            </w:r>
          </w:p>
        </w:tc>
        <w:tc>
          <w:tcPr>
            <w:tcW w:w="4948" w:type="dxa"/>
            <w:gridSpan w:val="2"/>
            <w:tcBorders>
              <w:tl2br w:val="nil"/>
              <w:tr2bl w:val="nil"/>
            </w:tcBorders>
            <w:vAlign w:val="center"/>
          </w:tcPr>
          <w:p>
            <w:pPr>
              <w:rPr>
                <w:rFonts w:ascii="宋体" w:hAnsi="宋体" w:cs="宋体"/>
                <w:szCs w:val="21"/>
              </w:rPr>
            </w:pPr>
            <w:r>
              <w:rPr>
                <w:rFonts w:hint="eastAsia" w:ascii="宋体" w:hAnsi="宋体" w:cs="宋体"/>
                <w:szCs w:val="21"/>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4157" w:type="dxa"/>
            <w:gridSpan w:val="2"/>
            <w:tcBorders>
              <w:tl2br w:val="nil"/>
              <w:tr2bl w:val="nil"/>
            </w:tcBorders>
            <w:vAlign w:val="center"/>
          </w:tcPr>
          <w:p>
            <w:pPr>
              <w:rPr>
                <w:rFonts w:ascii="宋体" w:hAnsi="宋体" w:cs="宋体"/>
                <w:szCs w:val="21"/>
              </w:rPr>
            </w:pPr>
            <w:r>
              <w:rPr>
                <w:rFonts w:hint="eastAsia" w:ascii="宋体" w:hAnsi="宋体" w:cs="宋体"/>
                <w:szCs w:val="21"/>
              </w:rPr>
              <w:t>闪点（℃）：&lt;23</w:t>
            </w:r>
          </w:p>
        </w:tc>
        <w:tc>
          <w:tcPr>
            <w:tcW w:w="4948" w:type="dxa"/>
            <w:gridSpan w:val="2"/>
            <w:tcBorders>
              <w:tl2br w:val="nil"/>
              <w:tr2bl w:val="nil"/>
            </w:tcBorders>
            <w:vAlign w:val="center"/>
          </w:tcPr>
          <w:p>
            <w:pPr>
              <w:rPr>
                <w:rFonts w:ascii="宋体" w:hAnsi="宋体" w:cs="宋体"/>
                <w:szCs w:val="21"/>
              </w:rPr>
            </w:pPr>
            <w:r>
              <w:rPr>
                <w:rFonts w:hint="eastAsia" w:ascii="宋体" w:hAnsi="宋体" w:cs="宋体"/>
                <w:szCs w:val="21"/>
              </w:rPr>
              <w:t>聚合危害：不能出现。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4157" w:type="dxa"/>
            <w:gridSpan w:val="2"/>
            <w:tcBorders>
              <w:tl2br w:val="nil"/>
              <w:tr2bl w:val="nil"/>
            </w:tcBorders>
            <w:vAlign w:val="center"/>
          </w:tcPr>
          <w:p>
            <w:pPr>
              <w:rPr>
                <w:rFonts w:ascii="宋体" w:hAnsi="宋体" w:cs="宋体"/>
                <w:szCs w:val="21"/>
              </w:rPr>
            </w:pPr>
            <w:r>
              <w:rPr>
                <w:rFonts w:hint="eastAsia" w:ascii="宋体" w:hAnsi="宋体" w:cs="宋体"/>
                <w:szCs w:val="21"/>
              </w:rPr>
              <w:t xml:space="preserve">爆炸极限（V/V%）：无资料 </w:t>
            </w:r>
          </w:p>
        </w:tc>
        <w:tc>
          <w:tcPr>
            <w:tcW w:w="4948" w:type="dxa"/>
            <w:gridSpan w:val="2"/>
            <w:tcBorders>
              <w:tl2br w:val="nil"/>
              <w:tr2bl w:val="nil"/>
            </w:tcBorders>
            <w:vAlign w:val="center"/>
          </w:tcPr>
          <w:p>
            <w:pPr>
              <w:rPr>
                <w:rFonts w:ascii="宋体" w:hAnsi="宋体" w:cs="宋体"/>
                <w:szCs w:val="21"/>
              </w:rPr>
            </w:pPr>
            <w:r>
              <w:rPr>
                <w:rFonts w:hint="eastAsia" w:ascii="宋体" w:hAnsi="宋体" w:cs="宋体"/>
                <w:szCs w:val="21"/>
              </w:rPr>
              <w:t xml:space="preserve">避免接触的条件：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4157" w:type="dxa"/>
            <w:gridSpan w:val="2"/>
            <w:tcBorders>
              <w:tl2br w:val="nil"/>
              <w:tr2bl w:val="nil"/>
            </w:tcBorders>
            <w:vAlign w:val="center"/>
          </w:tcPr>
          <w:p>
            <w:pPr>
              <w:rPr>
                <w:rFonts w:ascii="宋体" w:hAnsi="宋体" w:cs="宋体"/>
                <w:szCs w:val="21"/>
              </w:rPr>
            </w:pPr>
            <w:r>
              <w:rPr>
                <w:rFonts w:hint="eastAsia" w:ascii="宋体" w:hAnsi="宋体" w:cs="宋体"/>
                <w:szCs w:val="21"/>
              </w:rPr>
              <w:t>自燃温度（℃）：</w:t>
            </w:r>
          </w:p>
        </w:tc>
        <w:tc>
          <w:tcPr>
            <w:tcW w:w="4948" w:type="dxa"/>
            <w:gridSpan w:val="2"/>
            <w:tcBorders>
              <w:tl2br w:val="nil"/>
              <w:tr2bl w:val="nil"/>
            </w:tcBorders>
            <w:vAlign w:val="center"/>
          </w:tcPr>
          <w:p>
            <w:pPr>
              <w:rPr>
                <w:rFonts w:ascii="宋体" w:hAnsi="宋体" w:cs="宋体"/>
                <w:szCs w:val="21"/>
              </w:rPr>
            </w:pPr>
            <w:r>
              <w:rPr>
                <w:rFonts w:hint="eastAsia" w:ascii="宋体" w:hAnsi="宋体" w:cs="宋体"/>
                <w:szCs w:val="21"/>
              </w:rPr>
              <w:t>禁忌物：强氧化剂、酸类、碱类。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9105" w:type="dxa"/>
            <w:gridSpan w:val="4"/>
            <w:tcBorders>
              <w:tl2br w:val="nil"/>
              <w:tr2bl w:val="nil"/>
            </w:tcBorders>
            <w:vAlign w:val="center"/>
          </w:tcPr>
          <w:p>
            <w:pPr>
              <w:rPr>
                <w:rFonts w:ascii="宋体" w:hAnsi="宋体" w:cs="宋体"/>
                <w:szCs w:val="21"/>
              </w:rPr>
            </w:pPr>
            <w:r>
              <w:rPr>
                <w:rFonts w:hint="eastAsia" w:ascii="宋体" w:hAnsi="宋体" w:cs="宋体"/>
                <w:szCs w:val="21"/>
              </w:rPr>
              <w:t>危险特性：易燃、遇明火、高热即燃烧。蒸气能刺激眼睛和黏膜。吸入蒸气能产生眩晕、头痛、兴奋等症状。吸入高浓度蒸气能造成急性中毒。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14" w:type="dxa"/>
            <w:vMerge w:val="continue"/>
            <w:tcBorders>
              <w:tl2br w:val="nil"/>
              <w:tr2bl w:val="nil"/>
            </w:tcBorders>
            <w:vAlign w:val="center"/>
          </w:tcPr>
          <w:p>
            <w:pPr>
              <w:widowControl/>
              <w:jc w:val="center"/>
              <w:rPr>
                <w:rFonts w:ascii="宋体" w:hAnsi="宋体" w:cs="宋体"/>
                <w:szCs w:val="21"/>
              </w:rPr>
            </w:pPr>
          </w:p>
        </w:tc>
        <w:tc>
          <w:tcPr>
            <w:tcW w:w="9105" w:type="dxa"/>
            <w:gridSpan w:val="4"/>
            <w:tcBorders>
              <w:tl2br w:val="nil"/>
              <w:tr2bl w:val="nil"/>
            </w:tcBorders>
            <w:vAlign w:val="center"/>
          </w:tcPr>
          <w:p>
            <w:pPr>
              <w:rPr>
                <w:rFonts w:ascii="宋体" w:hAnsi="宋体" w:cs="宋体"/>
                <w:szCs w:val="21"/>
              </w:rPr>
            </w:pPr>
            <w:r>
              <w:rPr>
                <w:rFonts w:hint="eastAsia" w:ascii="宋体" w:hAnsi="宋体" w:cs="宋体"/>
                <w:szCs w:val="21"/>
              </w:rPr>
              <w:t>消防措施： 消防人员须穿戴防毒面具与消防服，可用干粉、抗溶性泡沫、干粉、砂土、二氧化碳灭火。用水保持火场中容器冷却。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4" w:type="dxa"/>
            <w:tcBorders>
              <w:tl2br w:val="nil"/>
              <w:tr2bl w:val="nil"/>
            </w:tcBorders>
            <w:vAlign w:val="center"/>
          </w:tcPr>
          <w:p>
            <w:pPr>
              <w:jc w:val="center"/>
              <w:rPr>
                <w:rFonts w:ascii="宋体" w:hAnsi="宋体" w:cs="宋体"/>
                <w:szCs w:val="21"/>
              </w:rPr>
            </w:pPr>
            <w:r>
              <w:rPr>
                <w:rFonts w:hint="eastAsia" w:ascii="宋体" w:hAnsi="宋体" w:cs="宋体"/>
                <w:szCs w:val="21"/>
              </w:rPr>
              <w:t>毒</w:t>
            </w:r>
          </w:p>
          <w:p>
            <w:pPr>
              <w:jc w:val="center"/>
              <w:rPr>
                <w:rFonts w:ascii="宋体" w:hAnsi="宋体" w:cs="宋体"/>
                <w:szCs w:val="21"/>
              </w:rPr>
            </w:pPr>
            <w:r>
              <w:rPr>
                <w:rFonts w:hint="eastAsia" w:ascii="宋体" w:hAnsi="宋体" w:cs="宋体"/>
                <w:szCs w:val="21"/>
              </w:rPr>
              <w:t>性</w:t>
            </w:r>
          </w:p>
        </w:tc>
        <w:tc>
          <w:tcPr>
            <w:tcW w:w="9105" w:type="dxa"/>
            <w:gridSpan w:val="4"/>
            <w:tcBorders>
              <w:tl2br w:val="nil"/>
              <w:tr2bl w:val="nil"/>
            </w:tcBorders>
            <w:vAlign w:val="center"/>
          </w:tcPr>
          <w:p>
            <w:pPr>
              <w:rPr>
                <w:rFonts w:ascii="宋体" w:hAnsi="宋体" w:cs="宋体"/>
                <w:szCs w:val="21"/>
              </w:rPr>
            </w:pPr>
            <w:r>
              <w:rPr>
                <w:rFonts w:hint="eastAsia" w:ascii="宋体" w:hAnsi="宋体" w:cs="宋体"/>
                <w:szCs w:val="21"/>
              </w:rPr>
              <w:t xml:space="preserve">接触限值： </w:t>
            </w:r>
          </w:p>
          <w:p>
            <w:pPr>
              <w:rPr>
                <w:rFonts w:ascii="宋体" w:hAnsi="宋体" w:cs="宋体"/>
                <w:szCs w:val="21"/>
              </w:rPr>
            </w:pPr>
            <w:r>
              <w:rPr>
                <w:rFonts w:hint="eastAsia" w:ascii="宋体" w:hAnsi="宋体" w:cs="宋体"/>
                <w:szCs w:val="21"/>
              </w:rPr>
              <w:t xml:space="preserve">毒理资料：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514" w:type="dxa"/>
            <w:tcBorders>
              <w:tl2br w:val="nil"/>
              <w:tr2bl w:val="nil"/>
            </w:tcBorders>
            <w:vAlign w:val="center"/>
          </w:tcPr>
          <w:p>
            <w:pPr>
              <w:pStyle w:val="110"/>
              <w:jc w:val="center"/>
              <w:rPr>
                <w:rFonts w:ascii="宋体" w:hAnsi="宋体" w:cs="宋体"/>
                <w:szCs w:val="21"/>
              </w:rPr>
            </w:pPr>
            <w:r>
              <w:rPr>
                <w:rFonts w:hint="eastAsia" w:ascii="宋体" w:hAnsi="宋体" w:cs="宋体"/>
                <w:szCs w:val="21"/>
              </w:rPr>
              <w:t>对人体危害</w:t>
            </w:r>
          </w:p>
        </w:tc>
        <w:tc>
          <w:tcPr>
            <w:tcW w:w="9105" w:type="dxa"/>
            <w:gridSpan w:val="4"/>
            <w:tcBorders>
              <w:tl2br w:val="nil"/>
              <w:tr2bl w:val="nil"/>
            </w:tcBorders>
            <w:vAlign w:val="center"/>
          </w:tcPr>
          <w:p>
            <w:pPr>
              <w:rPr>
                <w:rFonts w:ascii="宋体" w:hAnsi="宋体" w:cs="宋体"/>
                <w:szCs w:val="21"/>
              </w:rPr>
            </w:pPr>
            <w:r>
              <w:rPr>
                <w:rFonts w:hint="eastAsia" w:ascii="宋体" w:hAnsi="宋体" w:cs="宋体"/>
                <w:szCs w:val="21"/>
              </w:rPr>
              <w:t>蒸气能刺激眼睛和黏膜。吸入蒸气能产生眩晕、头痛、兴奋等症状。吸入高浓度蒸气能造成急性中毒。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514" w:type="dxa"/>
            <w:tcBorders>
              <w:tl2br w:val="nil"/>
              <w:tr2bl w:val="nil"/>
            </w:tcBorders>
            <w:vAlign w:val="center"/>
          </w:tcPr>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急</w:t>
            </w:r>
          </w:p>
          <w:p>
            <w:pPr>
              <w:jc w:val="center"/>
              <w:rPr>
                <w:rFonts w:ascii="宋体" w:hAnsi="宋体" w:cs="宋体"/>
                <w:szCs w:val="21"/>
              </w:rPr>
            </w:pPr>
            <w:r>
              <w:rPr>
                <w:rFonts w:hint="eastAsia" w:ascii="宋体" w:hAnsi="宋体" w:cs="宋体"/>
                <w:szCs w:val="21"/>
              </w:rPr>
              <w:t>救</w:t>
            </w:r>
          </w:p>
        </w:tc>
        <w:tc>
          <w:tcPr>
            <w:tcW w:w="9105" w:type="dxa"/>
            <w:gridSpan w:val="4"/>
            <w:tcBorders>
              <w:tl2br w:val="nil"/>
              <w:tr2bl w:val="nil"/>
            </w:tcBorders>
            <w:vAlign w:val="center"/>
          </w:tcPr>
          <w:p>
            <w:pPr>
              <w:rPr>
                <w:rFonts w:ascii="宋体" w:hAnsi="宋体" w:cs="宋体"/>
                <w:szCs w:val="21"/>
              </w:rPr>
            </w:pPr>
            <w:r>
              <w:rPr>
                <w:rFonts w:hint="eastAsia" w:ascii="宋体" w:hAnsi="宋体" w:cs="宋体"/>
                <w:szCs w:val="21"/>
              </w:rPr>
              <w:t>皮肤接触：先用稀料擦清油污，再用肥皂彻底洗涤。</w:t>
            </w:r>
          </w:p>
          <w:p>
            <w:pPr>
              <w:rPr>
                <w:rFonts w:ascii="宋体" w:hAnsi="宋体" w:cs="宋体"/>
                <w:szCs w:val="21"/>
              </w:rPr>
            </w:pPr>
            <w:r>
              <w:rPr>
                <w:rFonts w:hint="eastAsia" w:ascii="宋体" w:hAnsi="宋体" w:cs="宋体"/>
                <w:szCs w:val="21"/>
              </w:rPr>
              <w:t xml:space="preserve">眼睛接触： </w:t>
            </w:r>
          </w:p>
          <w:p>
            <w:pPr>
              <w:rPr>
                <w:rFonts w:ascii="宋体" w:hAnsi="宋体" w:cs="宋体"/>
                <w:szCs w:val="21"/>
              </w:rPr>
            </w:pPr>
            <w:r>
              <w:rPr>
                <w:rFonts w:hint="eastAsia" w:ascii="宋体" w:hAnsi="宋体" w:cs="宋体"/>
                <w:szCs w:val="21"/>
              </w:rPr>
              <w:t>吸入：迅速脱离现场至空气新鲜处。安置休息并保暖。严重者就医诊治。</w:t>
            </w:r>
          </w:p>
          <w:p>
            <w:pPr>
              <w:rPr>
                <w:rFonts w:ascii="宋体" w:hAnsi="宋体" w:cs="宋体"/>
                <w:szCs w:val="21"/>
              </w:rPr>
            </w:pPr>
            <w:r>
              <w:rPr>
                <w:rFonts w:hint="eastAsia" w:ascii="宋体" w:hAnsi="宋体" w:cs="宋体"/>
                <w:szCs w:val="21"/>
              </w:rPr>
              <w:t xml:space="preserve">食入：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514" w:type="dxa"/>
            <w:tcBorders>
              <w:tl2br w:val="nil"/>
              <w:tr2bl w:val="nil"/>
            </w:tcBorders>
            <w:vAlign w:val="center"/>
          </w:tcPr>
          <w:p>
            <w:pPr>
              <w:pStyle w:val="110"/>
              <w:jc w:val="center"/>
              <w:rPr>
                <w:rFonts w:ascii="宋体" w:hAnsi="宋体" w:cs="宋体"/>
                <w:szCs w:val="21"/>
              </w:rPr>
            </w:pPr>
            <w:r>
              <w:rPr>
                <w:rFonts w:hint="eastAsia" w:ascii="宋体" w:hAnsi="宋体" w:cs="宋体"/>
                <w:szCs w:val="21"/>
              </w:rPr>
              <w:t>泄漏处理</w:t>
            </w:r>
          </w:p>
        </w:tc>
        <w:tc>
          <w:tcPr>
            <w:tcW w:w="9105" w:type="dxa"/>
            <w:gridSpan w:val="4"/>
            <w:tcBorders>
              <w:tl2br w:val="nil"/>
              <w:tr2bl w:val="nil"/>
            </w:tcBorders>
            <w:vAlign w:val="center"/>
          </w:tcPr>
          <w:p>
            <w:pPr>
              <w:rPr>
                <w:rFonts w:ascii="宋体" w:hAnsi="宋体" w:cs="宋体"/>
                <w:szCs w:val="21"/>
              </w:rPr>
            </w:pPr>
            <w:r>
              <w:rPr>
                <w:rFonts w:hint="eastAsia" w:ascii="宋体" w:hAnsi="宋体" w:cs="宋体"/>
                <w:szCs w:val="21"/>
              </w:rPr>
              <w:t>疏散泄漏污染区人员至安全区，禁止无关人员进入污染区，切断火源。应急处理人员戴好防毒面具与手套。用砂土吸收，倒至空旷地方掩埋。对污染地面用油漆刀铲清。大面积泄漏应设雾状水幕抑爆。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514" w:type="dxa"/>
            <w:tcBorders>
              <w:tl2br w:val="nil"/>
              <w:tr2bl w:val="nil"/>
            </w:tcBorders>
            <w:vAlign w:val="center"/>
          </w:tcPr>
          <w:p>
            <w:pPr>
              <w:jc w:val="center"/>
              <w:rPr>
                <w:rFonts w:ascii="宋体" w:hAnsi="宋体" w:cs="宋体"/>
                <w:szCs w:val="21"/>
              </w:rPr>
            </w:pPr>
            <w:r>
              <w:rPr>
                <w:rFonts w:hint="eastAsia" w:ascii="宋体" w:hAnsi="宋体" w:cs="宋体"/>
                <w:szCs w:val="21"/>
              </w:rPr>
              <w:t>贮运</w:t>
            </w:r>
          </w:p>
        </w:tc>
        <w:tc>
          <w:tcPr>
            <w:tcW w:w="9105" w:type="dxa"/>
            <w:gridSpan w:val="4"/>
            <w:tcBorders>
              <w:tl2br w:val="nil"/>
              <w:tr2bl w:val="nil"/>
            </w:tcBorders>
            <w:vAlign w:val="center"/>
          </w:tcPr>
          <w:p>
            <w:pPr>
              <w:rPr>
                <w:rFonts w:ascii="宋体" w:hAnsi="宋体" w:cs="宋体"/>
                <w:szCs w:val="21"/>
              </w:rPr>
            </w:pPr>
            <w:r>
              <w:rPr>
                <w:rFonts w:hint="eastAsia" w:ascii="宋体" w:hAnsi="宋体" w:cs="宋体"/>
                <w:szCs w:val="21"/>
              </w:rPr>
              <w:t>包装标志：易燃液体。包装方法：（II）类。听桶或铁桶。</w:t>
            </w:r>
          </w:p>
          <w:p>
            <w:pPr>
              <w:rPr>
                <w:rFonts w:ascii="宋体" w:hAnsi="宋体" w:cs="宋体"/>
                <w:szCs w:val="21"/>
              </w:rPr>
            </w:pPr>
            <w:r>
              <w:rPr>
                <w:rFonts w:hint="eastAsia" w:ascii="宋体" w:hAnsi="宋体" w:cs="宋体"/>
                <w:szCs w:val="21"/>
              </w:rPr>
              <w:t>储运条件：储存于阴凉、通风仓间内。远离火种、热源。仓温不宜超过30℃。防止阳光直射。保持容器密封。应与氧化剂分开存放。储存间内的照明、通风等设施应采用防爆型，开关设在仓外。配备相应品种和数量的消防器材。禁止使用易产生火花的机械设备和工具。定期检查是否有泄漏现象。灌装时应注意流速(不超过3m/s)，且有接地装置，防止静电积聚。搬运时要轻装轻卸，防止包装及容器损坏。</w:t>
            </w:r>
          </w:p>
        </w:tc>
      </w:tr>
    </w:tbl>
    <w:p>
      <w:pPr>
        <w:spacing w:line="500" w:lineRule="exact"/>
        <w:ind w:firstLine="482"/>
        <w:jc w:val="center"/>
        <w:rPr>
          <w:rFonts w:ascii="宋体" w:hAnsi="宋体" w:cs="宋体"/>
          <w:sz w:val="24"/>
        </w:rPr>
      </w:pPr>
      <w:r>
        <w:rPr>
          <w:rFonts w:hint="eastAsia" w:ascii="宋体" w:hAnsi="宋体" w:cs="宋体"/>
          <w:sz w:val="24"/>
        </w:rPr>
        <w:t>表3-4 氧气理化特性表</w:t>
      </w:r>
    </w:p>
    <w:tbl>
      <w:tblPr>
        <w:tblStyle w:val="52"/>
        <w:tblW w:w="9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2"/>
        <w:gridCol w:w="2269"/>
        <w:gridCol w:w="621"/>
        <w:gridCol w:w="916"/>
        <w:gridCol w:w="300"/>
        <w:gridCol w:w="49"/>
        <w:gridCol w:w="257"/>
        <w:gridCol w:w="510"/>
        <w:gridCol w:w="1127"/>
        <w:gridCol w:w="267"/>
        <w:gridCol w:w="476"/>
        <w:gridCol w:w="2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restart"/>
            <w:tcBorders>
              <w:tl2br w:val="nil"/>
              <w:tr2bl w:val="nil"/>
            </w:tcBorders>
            <w:tcMar>
              <w:top w:w="15" w:type="dxa"/>
              <w:left w:w="15" w:type="dxa"/>
              <w:bottom w:w="15" w:type="dxa"/>
              <w:right w:w="15" w:type="dxa"/>
            </w:tcMar>
            <w:vAlign w:val="center"/>
          </w:tcPr>
          <w:p>
            <w:pPr>
              <w:jc w:val="center"/>
              <w:rPr>
                <w:kern w:val="21"/>
                <w:szCs w:val="21"/>
              </w:rPr>
            </w:pPr>
            <w:r>
              <w:rPr>
                <w:rFonts w:hint="eastAsia"/>
                <w:szCs w:val="21"/>
              </w:rPr>
              <w:t>标识</w:t>
            </w:r>
          </w:p>
        </w:tc>
        <w:tc>
          <w:tcPr>
            <w:tcW w:w="2890"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中文名：氧气</w:t>
            </w:r>
          </w:p>
        </w:tc>
        <w:tc>
          <w:tcPr>
            <w:tcW w:w="6276" w:type="dxa"/>
            <w:gridSpan w:val="9"/>
            <w:tcBorders>
              <w:tl2br w:val="nil"/>
              <w:tr2bl w:val="nil"/>
            </w:tcBorders>
            <w:tcMar>
              <w:top w:w="15" w:type="dxa"/>
              <w:left w:w="15" w:type="dxa"/>
              <w:bottom w:w="15" w:type="dxa"/>
              <w:right w:w="15" w:type="dxa"/>
            </w:tcMar>
            <w:vAlign w:val="center"/>
          </w:tcPr>
          <w:p>
            <w:pPr>
              <w:rPr>
                <w:kern w:val="21"/>
                <w:szCs w:val="21"/>
              </w:rPr>
            </w:pPr>
            <w:r>
              <w:rPr>
                <w:rFonts w:hint="eastAsia"/>
                <w:szCs w:val="21"/>
              </w:rPr>
              <w:t>英文名</w:t>
            </w:r>
            <w:r>
              <w:rPr>
                <w:szCs w:val="21"/>
              </w:rPr>
              <w:t>: oxygen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2890" w:type="dxa"/>
            <w:gridSpan w:val="2"/>
            <w:tcBorders>
              <w:tl2br w:val="nil"/>
              <w:tr2bl w:val="nil"/>
            </w:tcBorders>
            <w:tcMar>
              <w:top w:w="15" w:type="dxa"/>
              <w:left w:w="15" w:type="dxa"/>
              <w:bottom w:w="15" w:type="dxa"/>
              <w:right w:w="15" w:type="dxa"/>
            </w:tcMar>
            <w:vAlign w:val="center"/>
          </w:tcPr>
          <w:p>
            <w:pPr>
              <w:rPr>
                <w:kern w:val="21"/>
                <w:szCs w:val="21"/>
              </w:rPr>
            </w:pPr>
            <w:r>
              <w:rPr>
                <w:szCs w:val="21"/>
              </w:rPr>
              <w:t>CAS</w:t>
            </w:r>
            <w:r>
              <w:rPr>
                <w:rFonts w:hint="eastAsia"/>
                <w:szCs w:val="21"/>
              </w:rPr>
              <w:t>号：</w:t>
            </w:r>
            <w:r>
              <w:rPr>
                <w:szCs w:val="21"/>
              </w:rPr>
              <w:t>7782-44-7</w:t>
            </w:r>
          </w:p>
        </w:tc>
        <w:tc>
          <w:tcPr>
            <w:tcW w:w="3902" w:type="dxa"/>
            <w:gridSpan w:val="8"/>
            <w:tcBorders>
              <w:tl2br w:val="nil"/>
              <w:tr2bl w:val="nil"/>
            </w:tcBorders>
            <w:tcMar>
              <w:top w:w="15" w:type="dxa"/>
              <w:left w:w="15" w:type="dxa"/>
              <w:bottom w:w="15" w:type="dxa"/>
              <w:right w:w="15" w:type="dxa"/>
            </w:tcMar>
            <w:vAlign w:val="center"/>
          </w:tcPr>
          <w:p>
            <w:pPr>
              <w:rPr>
                <w:kern w:val="21"/>
                <w:szCs w:val="21"/>
              </w:rPr>
            </w:pPr>
            <w:r>
              <w:rPr>
                <w:szCs w:val="21"/>
              </w:rPr>
              <w:t>UN</w:t>
            </w:r>
            <w:r>
              <w:rPr>
                <w:rFonts w:hint="eastAsia"/>
                <w:szCs w:val="21"/>
              </w:rPr>
              <w:t>编号：</w:t>
            </w:r>
            <w:r>
              <w:rPr>
                <w:szCs w:val="21"/>
              </w:rPr>
              <w:t>1072</w:t>
            </w:r>
          </w:p>
        </w:tc>
        <w:tc>
          <w:tcPr>
            <w:tcW w:w="2374" w:type="dxa"/>
            <w:tcBorders>
              <w:tl2br w:val="nil"/>
              <w:tr2bl w:val="nil"/>
            </w:tcBorders>
            <w:tcMar>
              <w:top w:w="15" w:type="dxa"/>
              <w:left w:w="15" w:type="dxa"/>
              <w:bottom w:w="15" w:type="dxa"/>
              <w:right w:w="15" w:type="dxa"/>
            </w:tcMar>
            <w:vAlign w:val="center"/>
          </w:tcPr>
          <w:p>
            <w:pPr>
              <w:rPr>
                <w:kern w:val="21"/>
                <w:szCs w:val="21"/>
              </w:rPr>
            </w:pPr>
            <w:r>
              <w:rPr>
                <w:rFonts w:hint="eastAsia"/>
                <w:szCs w:val="21"/>
              </w:rPr>
              <w:t>危险货物编号：</w:t>
            </w:r>
            <w:r>
              <w:rPr>
                <w:szCs w:val="21"/>
              </w:rPr>
              <w:t>22001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restart"/>
            <w:tcBorders>
              <w:tl2br w:val="nil"/>
              <w:tr2bl w:val="nil"/>
            </w:tcBorders>
            <w:tcMar>
              <w:top w:w="15" w:type="dxa"/>
              <w:left w:w="15" w:type="dxa"/>
              <w:bottom w:w="15" w:type="dxa"/>
              <w:right w:w="15" w:type="dxa"/>
            </w:tcMar>
            <w:vAlign w:val="center"/>
          </w:tcPr>
          <w:p>
            <w:pPr>
              <w:jc w:val="center"/>
              <w:rPr>
                <w:kern w:val="21"/>
                <w:szCs w:val="21"/>
              </w:rPr>
            </w:pPr>
            <w:r>
              <w:rPr>
                <w:rFonts w:hint="eastAsia"/>
                <w:szCs w:val="21"/>
              </w:rPr>
              <w:t>理化性质</w:t>
            </w: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性状：无色无臭气体。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主要用途：用于切割、焊接金属，制造医药、染料、炸药等。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5" w:hRule="atLeast"/>
          <w:jc w:val="center"/>
        </w:trPr>
        <w:tc>
          <w:tcPr>
            <w:tcW w:w="552" w:type="dxa"/>
            <w:vMerge w:val="continue"/>
            <w:tcBorders>
              <w:tl2br w:val="nil"/>
              <w:tr2bl w:val="nil"/>
            </w:tcBorders>
            <w:vAlign w:val="center"/>
          </w:tcPr>
          <w:p>
            <w:pPr>
              <w:jc w:val="center"/>
              <w:rPr>
                <w:kern w:val="21"/>
                <w:szCs w:val="21"/>
              </w:rPr>
            </w:pPr>
          </w:p>
        </w:tc>
        <w:tc>
          <w:tcPr>
            <w:tcW w:w="2890" w:type="dxa"/>
            <w:gridSpan w:val="2"/>
            <w:tcBorders>
              <w:tl2br w:val="nil"/>
              <w:tr2bl w:val="nil"/>
            </w:tcBorders>
            <w:tcMar>
              <w:top w:w="15" w:type="dxa"/>
              <w:left w:w="15" w:type="dxa"/>
              <w:bottom w:w="15" w:type="dxa"/>
              <w:right w:w="15" w:type="dxa"/>
            </w:tcMar>
            <w:vAlign w:val="center"/>
          </w:tcPr>
          <w:p>
            <w:pPr>
              <w:rPr>
                <w:szCs w:val="21"/>
              </w:rPr>
            </w:pPr>
            <w:r>
              <w:rPr>
                <w:rFonts w:hint="eastAsia"/>
                <w:szCs w:val="21"/>
              </w:rPr>
              <w:t>相对密度</w:t>
            </w:r>
            <w:r>
              <w:rPr>
                <w:szCs w:val="21"/>
              </w:rPr>
              <w:t>(</w:t>
            </w:r>
            <w:r>
              <w:rPr>
                <w:rFonts w:hint="eastAsia"/>
                <w:szCs w:val="21"/>
              </w:rPr>
              <w:t>水</w:t>
            </w:r>
            <w:r>
              <w:rPr>
                <w:szCs w:val="21"/>
              </w:rPr>
              <w:t>=1)</w:t>
            </w:r>
            <w:r>
              <w:rPr>
                <w:rFonts w:hint="eastAsia"/>
                <w:szCs w:val="21"/>
              </w:rPr>
              <w:t>：</w:t>
            </w:r>
          </w:p>
          <w:p>
            <w:pPr>
              <w:rPr>
                <w:kern w:val="21"/>
                <w:szCs w:val="21"/>
              </w:rPr>
            </w:pPr>
            <w:r>
              <w:rPr>
                <w:szCs w:val="21"/>
              </w:rPr>
              <w:t>1.14</w:t>
            </w:r>
            <w:r>
              <w:rPr>
                <w:rFonts w:hint="eastAsia"/>
                <w:szCs w:val="21"/>
              </w:rPr>
              <w:t>（</w:t>
            </w:r>
            <w:r>
              <w:rPr>
                <w:szCs w:val="21"/>
              </w:rPr>
              <w:t>-183</w:t>
            </w:r>
            <w:r>
              <w:rPr>
                <w:rFonts w:hint="eastAsia"/>
                <w:szCs w:val="21"/>
              </w:rPr>
              <w:t>℃）</w:t>
            </w:r>
          </w:p>
        </w:tc>
        <w:tc>
          <w:tcPr>
            <w:tcW w:w="3426" w:type="dxa"/>
            <w:gridSpan w:val="7"/>
            <w:tcBorders>
              <w:tl2br w:val="nil"/>
              <w:tr2bl w:val="nil"/>
            </w:tcBorders>
            <w:tcMar>
              <w:top w:w="15" w:type="dxa"/>
              <w:left w:w="15" w:type="dxa"/>
              <w:bottom w:w="15" w:type="dxa"/>
              <w:right w:w="15" w:type="dxa"/>
            </w:tcMar>
            <w:vAlign w:val="center"/>
          </w:tcPr>
          <w:p>
            <w:pPr>
              <w:rPr>
                <w:kern w:val="21"/>
                <w:szCs w:val="21"/>
              </w:rPr>
            </w:pPr>
            <w:r>
              <w:rPr>
                <w:rFonts w:hint="eastAsia"/>
                <w:szCs w:val="21"/>
              </w:rPr>
              <w:t>饱和蒸汽压</w:t>
            </w:r>
            <w:r>
              <w:rPr>
                <w:szCs w:val="21"/>
              </w:rPr>
              <w:t>(kPa)</w:t>
            </w:r>
            <w:r>
              <w:rPr>
                <w:rFonts w:hint="eastAsia"/>
                <w:szCs w:val="21"/>
              </w:rPr>
              <w:t>：</w:t>
            </w:r>
            <w:r>
              <w:rPr>
                <w:szCs w:val="21"/>
              </w:rPr>
              <w:t>506.62</w:t>
            </w:r>
            <w:r>
              <w:rPr>
                <w:rFonts w:hint="eastAsia"/>
                <w:szCs w:val="21"/>
              </w:rPr>
              <w:t>（</w:t>
            </w:r>
            <w:r>
              <w:rPr>
                <w:szCs w:val="21"/>
              </w:rPr>
              <w:t>-164</w:t>
            </w:r>
            <w:r>
              <w:rPr>
                <w:rFonts w:hint="eastAsia"/>
                <w:szCs w:val="21"/>
              </w:rPr>
              <w:t>℃）</w:t>
            </w:r>
          </w:p>
        </w:tc>
        <w:tc>
          <w:tcPr>
            <w:tcW w:w="2850"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临界温度</w:t>
            </w:r>
            <w:r>
              <w:rPr>
                <w:szCs w:val="21"/>
              </w:rPr>
              <w:t>(</w:t>
            </w:r>
            <w:r>
              <w:rPr>
                <w:rFonts w:hint="eastAsia"/>
                <w:szCs w:val="21"/>
              </w:rPr>
              <w:t>℃</w:t>
            </w:r>
            <w:r>
              <w:rPr>
                <w:szCs w:val="21"/>
              </w:rPr>
              <w:t>)</w:t>
            </w:r>
            <w:r>
              <w:rPr>
                <w:rFonts w:hint="eastAsia"/>
                <w:szCs w:val="21"/>
              </w:rPr>
              <w:t>：</w:t>
            </w:r>
            <w:r>
              <w:rPr>
                <w:szCs w:val="21"/>
              </w:rPr>
              <w:t>-118.4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2890"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相对密度</w:t>
            </w:r>
            <w:r>
              <w:rPr>
                <w:szCs w:val="21"/>
              </w:rPr>
              <w:t>(</w:t>
            </w:r>
            <w:r>
              <w:rPr>
                <w:rFonts w:hint="eastAsia"/>
                <w:szCs w:val="21"/>
              </w:rPr>
              <w:t>空气</w:t>
            </w:r>
            <w:r>
              <w:rPr>
                <w:szCs w:val="21"/>
              </w:rPr>
              <w:t>=1): 1.43</w:t>
            </w:r>
          </w:p>
        </w:tc>
        <w:tc>
          <w:tcPr>
            <w:tcW w:w="3426" w:type="dxa"/>
            <w:gridSpan w:val="7"/>
            <w:tcBorders>
              <w:tl2br w:val="nil"/>
              <w:tr2bl w:val="nil"/>
            </w:tcBorders>
            <w:tcMar>
              <w:top w:w="15" w:type="dxa"/>
              <w:left w:w="15" w:type="dxa"/>
              <w:bottom w:w="15" w:type="dxa"/>
              <w:right w:w="15" w:type="dxa"/>
            </w:tcMar>
            <w:vAlign w:val="center"/>
          </w:tcPr>
          <w:p>
            <w:pPr>
              <w:rPr>
                <w:kern w:val="21"/>
                <w:szCs w:val="21"/>
              </w:rPr>
            </w:pPr>
            <w:r>
              <w:rPr>
                <w:rFonts w:hint="eastAsia"/>
                <w:szCs w:val="21"/>
              </w:rPr>
              <w:t>闪点</w:t>
            </w:r>
            <w:r>
              <w:rPr>
                <w:szCs w:val="21"/>
              </w:rPr>
              <w:t>(</w:t>
            </w:r>
            <w:r>
              <w:rPr>
                <w:rFonts w:hint="eastAsia"/>
                <w:szCs w:val="21"/>
              </w:rPr>
              <w:t>℃</w:t>
            </w:r>
            <w:r>
              <w:rPr>
                <w:szCs w:val="21"/>
              </w:rPr>
              <w:t>)</w:t>
            </w:r>
            <w:r>
              <w:rPr>
                <w:rFonts w:hint="eastAsia"/>
                <w:szCs w:val="21"/>
              </w:rPr>
              <w:t>：不适用</w:t>
            </w:r>
          </w:p>
        </w:tc>
        <w:tc>
          <w:tcPr>
            <w:tcW w:w="2850"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临界压力</w:t>
            </w:r>
            <w:r>
              <w:rPr>
                <w:szCs w:val="21"/>
              </w:rPr>
              <w:t>(MPa)</w:t>
            </w:r>
            <w:r>
              <w:rPr>
                <w:rFonts w:hint="eastAsia"/>
                <w:szCs w:val="21"/>
              </w:rPr>
              <w:t>：</w:t>
            </w:r>
            <w:r>
              <w:rPr>
                <w:szCs w:val="21"/>
              </w:rPr>
              <w:t>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4412" w:type="dxa"/>
            <w:gridSpan w:val="6"/>
            <w:tcBorders>
              <w:tl2br w:val="nil"/>
              <w:tr2bl w:val="nil"/>
            </w:tcBorders>
            <w:tcMar>
              <w:top w:w="15" w:type="dxa"/>
              <w:left w:w="15" w:type="dxa"/>
              <w:bottom w:w="15" w:type="dxa"/>
              <w:right w:w="15" w:type="dxa"/>
            </w:tcMar>
            <w:vAlign w:val="center"/>
          </w:tcPr>
          <w:p>
            <w:pPr>
              <w:rPr>
                <w:kern w:val="21"/>
                <w:szCs w:val="21"/>
              </w:rPr>
            </w:pPr>
            <w:r>
              <w:rPr>
                <w:rFonts w:hint="eastAsia"/>
                <w:szCs w:val="21"/>
              </w:rPr>
              <w:t>熔点：</w:t>
            </w:r>
            <w:r>
              <w:rPr>
                <w:szCs w:val="21"/>
              </w:rPr>
              <w:t>-218.8</w:t>
            </w:r>
          </w:p>
        </w:tc>
        <w:tc>
          <w:tcPr>
            <w:tcW w:w="4754" w:type="dxa"/>
            <w:gridSpan w:val="5"/>
            <w:tcBorders>
              <w:tl2br w:val="nil"/>
              <w:tr2bl w:val="nil"/>
            </w:tcBorders>
            <w:vAlign w:val="center"/>
          </w:tcPr>
          <w:p>
            <w:pPr>
              <w:rPr>
                <w:kern w:val="21"/>
                <w:szCs w:val="21"/>
              </w:rPr>
            </w:pPr>
            <w:r>
              <w:rPr>
                <w:rFonts w:hint="eastAsia"/>
                <w:szCs w:val="21"/>
              </w:rPr>
              <w:t>沸点：</w:t>
            </w:r>
            <w:r>
              <w:rPr>
                <w:szCs w:val="21"/>
              </w:rPr>
              <w:t>-183.1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溶解性：溶于水、乙醇。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5"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危险特性：是易燃物、可燃物燃烧爆炸的基本要素之一</w:t>
            </w:r>
            <w:r>
              <w:rPr>
                <w:szCs w:val="21"/>
              </w:rPr>
              <w:t xml:space="preserve">, </w:t>
            </w:r>
            <w:r>
              <w:rPr>
                <w:rFonts w:hint="eastAsia"/>
                <w:szCs w:val="21"/>
              </w:rPr>
              <w:t>能氧化大多数活性物质。与易燃物（如乙炔、甲烷等）形成有爆炸性的混合物。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5" w:hRule="atLeast"/>
          <w:jc w:val="center"/>
        </w:trPr>
        <w:tc>
          <w:tcPr>
            <w:tcW w:w="552" w:type="dxa"/>
            <w:vMerge w:val="continue"/>
            <w:tcBorders>
              <w:tl2br w:val="nil"/>
              <w:tr2bl w:val="nil"/>
            </w:tcBorders>
            <w:vAlign w:val="center"/>
          </w:tcPr>
          <w:p>
            <w:pPr>
              <w:jc w:val="center"/>
              <w:rPr>
                <w:kern w:val="21"/>
                <w:szCs w:val="21"/>
              </w:rPr>
            </w:pPr>
          </w:p>
        </w:tc>
        <w:tc>
          <w:tcPr>
            <w:tcW w:w="2269" w:type="dxa"/>
            <w:tcBorders>
              <w:tl2br w:val="nil"/>
              <w:tr2bl w:val="nil"/>
            </w:tcBorders>
            <w:tcMar>
              <w:top w:w="15" w:type="dxa"/>
              <w:left w:w="15" w:type="dxa"/>
              <w:bottom w:w="15" w:type="dxa"/>
              <w:right w:w="15" w:type="dxa"/>
            </w:tcMar>
            <w:vAlign w:val="center"/>
          </w:tcPr>
          <w:p>
            <w:pPr>
              <w:rPr>
                <w:kern w:val="21"/>
                <w:szCs w:val="21"/>
              </w:rPr>
            </w:pPr>
            <w:r>
              <w:rPr>
                <w:rFonts w:hint="eastAsia"/>
                <w:szCs w:val="21"/>
              </w:rPr>
              <w:t>燃烧分解产物：无数据</w:t>
            </w:r>
          </w:p>
        </w:tc>
        <w:tc>
          <w:tcPr>
            <w:tcW w:w="1537"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稳定性：无数据</w:t>
            </w:r>
          </w:p>
        </w:tc>
        <w:tc>
          <w:tcPr>
            <w:tcW w:w="2243" w:type="dxa"/>
            <w:gridSpan w:val="5"/>
            <w:tcBorders>
              <w:tl2br w:val="nil"/>
              <w:tr2bl w:val="nil"/>
            </w:tcBorders>
            <w:tcMar>
              <w:top w:w="15" w:type="dxa"/>
              <w:left w:w="15" w:type="dxa"/>
              <w:bottom w:w="15" w:type="dxa"/>
              <w:right w:w="15" w:type="dxa"/>
            </w:tcMar>
            <w:vAlign w:val="center"/>
          </w:tcPr>
          <w:p>
            <w:pPr>
              <w:rPr>
                <w:kern w:val="21"/>
                <w:szCs w:val="21"/>
              </w:rPr>
            </w:pPr>
            <w:r>
              <w:rPr>
                <w:rFonts w:hint="eastAsia"/>
                <w:szCs w:val="21"/>
              </w:rPr>
              <w:t>聚合危害：无数据</w:t>
            </w:r>
          </w:p>
        </w:tc>
        <w:tc>
          <w:tcPr>
            <w:tcW w:w="3117" w:type="dxa"/>
            <w:gridSpan w:val="3"/>
            <w:tcBorders>
              <w:tl2br w:val="nil"/>
              <w:tr2bl w:val="nil"/>
            </w:tcBorders>
            <w:tcMar>
              <w:top w:w="15" w:type="dxa"/>
              <w:left w:w="15" w:type="dxa"/>
              <w:bottom w:w="15" w:type="dxa"/>
              <w:right w:w="15" w:type="dxa"/>
            </w:tcMar>
            <w:vAlign w:val="center"/>
          </w:tcPr>
          <w:p>
            <w:pPr>
              <w:rPr>
                <w:kern w:val="21"/>
                <w:szCs w:val="21"/>
              </w:rPr>
            </w:pPr>
            <w:r>
              <w:rPr>
                <w:rFonts w:hint="eastAsia"/>
                <w:szCs w:val="21"/>
              </w:rPr>
              <w:t>禁忌物：易燃或可燃物、活性金属粉末、乙炔。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5"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灭火方法：用水保持容器冷却，以防受热爆炸，急剧助长火势。迅速切断气源，用水喷淋保护切断气源的人员，然后根据着火原因选择适当灭火剂灭火。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restart"/>
            <w:tcBorders>
              <w:tl2br w:val="nil"/>
              <w:tr2bl w:val="nil"/>
            </w:tcBorders>
            <w:tcMar>
              <w:top w:w="15" w:type="dxa"/>
              <w:left w:w="15" w:type="dxa"/>
              <w:bottom w:w="15" w:type="dxa"/>
              <w:right w:w="15" w:type="dxa"/>
            </w:tcMar>
            <w:vAlign w:val="center"/>
          </w:tcPr>
          <w:p>
            <w:pPr>
              <w:jc w:val="center"/>
              <w:rPr>
                <w:kern w:val="21"/>
                <w:szCs w:val="21"/>
              </w:rPr>
            </w:pPr>
            <w:r>
              <w:rPr>
                <w:rFonts w:hint="eastAsia"/>
                <w:szCs w:val="21"/>
              </w:rPr>
              <w:t>危害</w:t>
            </w:r>
          </w:p>
        </w:tc>
        <w:tc>
          <w:tcPr>
            <w:tcW w:w="4106" w:type="dxa"/>
            <w:gridSpan w:val="4"/>
            <w:tcBorders>
              <w:tl2br w:val="nil"/>
              <w:tr2bl w:val="nil"/>
            </w:tcBorders>
            <w:tcMar>
              <w:top w:w="15" w:type="dxa"/>
              <w:left w:w="15" w:type="dxa"/>
              <w:bottom w:w="15" w:type="dxa"/>
              <w:right w:w="15" w:type="dxa"/>
            </w:tcMar>
            <w:vAlign w:val="center"/>
          </w:tcPr>
          <w:p>
            <w:pPr>
              <w:rPr>
                <w:kern w:val="21"/>
                <w:szCs w:val="21"/>
              </w:rPr>
            </w:pPr>
            <w:r>
              <w:rPr>
                <w:rFonts w:hint="eastAsia"/>
                <w:szCs w:val="21"/>
              </w:rPr>
              <w:t>危险性类别：第</w:t>
            </w:r>
            <w:r>
              <w:rPr>
                <w:szCs w:val="21"/>
              </w:rPr>
              <w:t>2.2</w:t>
            </w:r>
            <w:r>
              <w:rPr>
                <w:rFonts w:hint="eastAsia"/>
                <w:szCs w:val="21"/>
              </w:rPr>
              <w:t>类不燃气体</w:t>
            </w:r>
          </w:p>
        </w:tc>
        <w:tc>
          <w:tcPr>
            <w:tcW w:w="5060" w:type="dxa"/>
            <w:gridSpan w:val="7"/>
            <w:tcBorders>
              <w:tl2br w:val="nil"/>
              <w:tr2bl w:val="nil"/>
            </w:tcBorders>
            <w:vAlign w:val="center"/>
          </w:tcPr>
          <w:p>
            <w:pPr>
              <w:rPr>
                <w:kern w:val="21"/>
                <w:szCs w:val="21"/>
              </w:rPr>
            </w:pPr>
            <w:r>
              <w:rPr>
                <w:rFonts w:hint="eastAsia"/>
                <w:szCs w:val="21"/>
              </w:rPr>
              <w:t>侵入途径：无数据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78"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健康危害：常压下，当氧的浓度超过</w:t>
            </w:r>
            <w:r>
              <w:rPr>
                <w:szCs w:val="21"/>
              </w:rPr>
              <w:t>40</w:t>
            </w:r>
            <w:r>
              <w:rPr>
                <w:rFonts w:hint="eastAsia"/>
                <w:szCs w:val="21"/>
              </w:rPr>
              <w:t>％时，有可能发生氧中毒。吸入</w:t>
            </w:r>
            <w:r>
              <w:rPr>
                <w:szCs w:val="21"/>
              </w:rPr>
              <w:t>40</w:t>
            </w:r>
            <w:r>
              <w:rPr>
                <w:rFonts w:hint="eastAsia"/>
                <w:szCs w:val="21"/>
              </w:rPr>
              <w:t>％～</w:t>
            </w:r>
            <w:r>
              <w:rPr>
                <w:szCs w:val="21"/>
              </w:rPr>
              <w:t>60</w:t>
            </w:r>
            <w:r>
              <w:rPr>
                <w:rFonts w:hint="eastAsia"/>
                <w:szCs w:val="21"/>
              </w:rPr>
              <w:t>％的氧时，出现胸骨后不适感、轻咳，进而胸闷、胸骨后烧灼感和呼吸困难，咳嗽加剧；严重时可发生肺水肿，甚至出现呼吸窘迫综合征。吸入氧浓度在</w:t>
            </w:r>
            <w:r>
              <w:rPr>
                <w:szCs w:val="21"/>
              </w:rPr>
              <w:t>80</w:t>
            </w:r>
            <w:r>
              <w:rPr>
                <w:rFonts w:hint="eastAsia"/>
                <w:szCs w:val="21"/>
              </w:rPr>
              <w:t>％以上时，出现面部肌肉抽动、面色苍白、眩晕、心动过速、虚脱，继而全身强直性抽搐、昏迷、呼吸衰竭而死亡。长期处于氧分压为</w:t>
            </w:r>
            <w:r>
              <w:rPr>
                <w:szCs w:val="21"/>
              </w:rPr>
              <w:t>60</w:t>
            </w:r>
            <w:r>
              <w:rPr>
                <w:rFonts w:hint="eastAsia"/>
                <w:szCs w:val="21"/>
              </w:rPr>
              <w:t>～</w:t>
            </w:r>
            <w:r>
              <w:rPr>
                <w:szCs w:val="21"/>
              </w:rPr>
              <w:t>100kPa</w:t>
            </w:r>
            <w:r>
              <w:rPr>
                <w:rFonts w:hint="eastAsia"/>
                <w:szCs w:val="21"/>
              </w:rPr>
              <w:t>（相当于吸入氧浓度</w:t>
            </w:r>
            <w:r>
              <w:rPr>
                <w:szCs w:val="21"/>
              </w:rPr>
              <w:t>40</w:t>
            </w:r>
            <w:r>
              <w:rPr>
                <w:rFonts w:hint="eastAsia"/>
                <w:szCs w:val="21"/>
              </w:rPr>
              <w:t>％左右）的条件下可发生眼损害，严重者可失明。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燃爆危险：本品助燃。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restart"/>
            <w:tcBorders>
              <w:tl2br w:val="nil"/>
              <w:tr2bl w:val="nil"/>
            </w:tcBorders>
            <w:tcMar>
              <w:top w:w="15" w:type="dxa"/>
              <w:left w:w="15" w:type="dxa"/>
              <w:bottom w:w="15" w:type="dxa"/>
              <w:right w:w="15" w:type="dxa"/>
            </w:tcMar>
            <w:vAlign w:val="center"/>
          </w:tcPr>
          <w:p>
            <w:pPr>
              <w:jc w:val="center"/>
              <w:rPr>
                <w:kern w:val="21"/>
                <w:szCs w:val="21"/>
              </w:rPr>
            </w:pPr>
            <w:r>
              <w:rPr>
                <w:rFonts w:hint="eastAsia"/>
                <w:szCs w:val="21"/>
              </w:rPr>
              <w:t>包装与</w:t>
            </w:r>
          </w:p>
          <w:p>
            <w:pPr>
              <w:jc w:val="center"/>
              <w:rPr>
                <w:kern w:val="21"/>
                <w:szCs w:val="21"/>
              </w:rPr>
            </w:pPr>
            <w:r>
              <w:rPr>
                <w:rFonts w:hint="eastAsia"/>
                <w:szCs w:val="21"/>
              </w:rPr>
              <w:t>储运</w:t>
            </w:r>
          </w:p>
        </w:tc>
        <w:tc>
          <w:tcPr>
            <w:tcW w:w="4155" w:type="dxa"/>
            <w:gridSpan w:val="5"/>
            <w:tcBorders>
              <w:tl2br w:val="nil"/>
              <w:tr2bl w:val="nil"/>
            </w:tcBorders>
            <w:tcMar>
              <w:top w:w="15" w:type="dxa"/>
              <w:left w:w="15" w:type="dxa"/>
              <w:bottom w:w="15" w:type="dxa"/>
              <w:right w:w="15" w:type="dxa"/>
            </w:tcMar>
            <w:vAlign w:val="center"/>
          </w:tcPr>
          <w:p>
            <w:pPr>
              <w:rPr>
                <w:kern w:val="21"/>
                <w:szCs w:val="21"/>
              </w:rPr>
            </w:pPr>
            <w:r>
              <w:rPr>
                <w:rFonts w:hint="eastAsia"/>
                <w:szCs w:val="21"/>
              </w:rPr>
              <w:t>危险货物包装标志：无数据</w:t>
            </w:r>
          </w:p>
        </w:tc>
        <w:tc>
          <w:tcPr>
            <w:tcW w:w="5011" w:type="dxa"/>
            <w:gridSpan w:val="6"/>
            <w:tcBorders>
              <w:tl2br w:val="nil"/>
              <w:tr2bl w:val="nil"/>
            </w:tcBorders>
            <w:tcMar>
              <w:top w:w="15" w:type="dxa"/>
              <w:left w:w="15" w:type="dxa"/>
              <w:bottom w:w="15" w:type="dxa"/>
              <w:right w:w="15" w:type="dxa"/>
            </w:tcMar>
            <w:vAlign w:val="center"/>
          </w:tcPr>
          <w:p>
            <w:pPr>
              <w:rPr>
                <w:kern w:val="21"/>
                <w:szCs w:val="21"/>
              </w:rPr>
            </w:pPr>
            <w:r>
              <w:rPr>
                <w:rFonts w:hint="eastAsia"/>
                <w:szCs w:val="21"/>
              </w:rPr>
              <w:t>包装类别：</w:t>
            </w:r>
            <w:r>
              <w:rPr>
                <w:szCs w:val="21"/>
              </w:rPr>
              <w:t>O53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71"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restart"/>
            <w:tcBorders>
              <w:tl2br w:val="nil"/>
              <w:tr2bl w:val="nil"/>
            </w:tcBorders>
            <w:tcMar>
              <w:top w:w="15" w:type="dxa"/>
              <w:left w:w="15" w:type="dxa"/>
              <w:bottom w:w="15" w:type="dxa"/>
              <w:right w:w="15" w:type="dxa"/>
            </w:tcMar>
            <w:vAlign w:val="center"/>
          </w:tcPr>
          <w:p>
            <w:pPr>
              <w:jc w:val="center"/>
              <w:rPr>
                <w:kern w:val="21"/>
                <w:szCs w:val="21"/>
              </w:rPr>
            </w:pPr>
            <w:r>
              <w:rPr>
                <w:rFonts w:hint="eastAsia"/>
                <w:szCs w:val="21"/>
              </w:rPr>
              <w:t>急救措施</w:t>
            </w: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眼睛接触：无数据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皮肤接触：无数据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食入：无数据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吸入：迅速脱离现场至空气新鲜处。保持呼吸道通畅。如呼吸停止，立即进行人工呼吸。就医。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restart"/>
            <w:tcBorders>
              <w:tl2br w:val="nil"/>
              <w:tr2bl w:val="nil"/>
            </w:tcBorders>
            <w:tcMar>
              <w:top w:w="15" w:type="dxa"/>
              <w:left w:w="15" w:type="dxa"/>
              <w:bottom w:w="15" w:type="dxa"/>
              <w:right w:w="15" w:type="dxa"/>
            </w:tcMar>
            <w:vAlign w:val="center"/>
          </w:tcPr>
          <w:p>
            <w:pPr>
              <w:jc w:val="center"/>
              <w:rPr>
                <w:kern w:val="21"/>
                <w:szCs w:val="21"/>
              </w:rPr>
            </w:pPr>
            <w:r>
              <w:rPr>
                <w:rFonts w:hint="eastAsia"/>
                <w:szCs w:val="21"/>
              </w:rPr>
              <w:t>防护措施</w:t>
            </w: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工程控制：密闭操作。提供良好的自然通风条件。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眼睛防护：一般不需特殊防护。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呼吸系统防护：一般不需特殊防护。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4922" w:type="dxa"/>
            <w:gridSpan w:val="7"/>
            <w:tcBorders>
              <w:tl2br w:val="nil"/>
              <w:tr2bl w:val="nil"/>
            </w:tcBorders>
            <w:tcMar>
              <w:top w:w="15" w:type="dxa"/>
              <w:left w:w="15" w:type="dxa"/>
              <w:bottom w:w="15" w:type="dxa"/>
              <w:right w:w="15" w:type="dxa"/>
            </w:tcMar>
            <w:vAlign w:val="center"/>
          </w:tcPr>
          <w:p>
            <w:pPr>
              <w:rPr>
                <w:kern w:val="21"/>
                <w:szCs w:val="21"/>
              </w:rPr>
            </w:pPr>
            <w:r>
              <w:rPr>
                <w:rFonts w:hint="eastAsia"/>
                <w:szCs w:val="21"/>
              </w:rPr>
              <w:t>身体防护：穿一般作业工作服。</w:t>
            </w:r>
          </w:p>
        </w:tc>
        <w:tc>
          <w:tcPr>
            <w:tcW w:w="4244" w:type="dxa"/>
            <w:gridSpan w:val="4"/>
            <w:tcBorders>
              <w:tl2br w:val="nil"/>
              <w:tr2bl w:val="nil"/>
            </w:tcBorders>
            <w:tcMar>
              <w:top w:w="15" w:type="dxa"/>
              <w:left w:w="15" w:type="dxa"/>
              <w:bottom w:w="15" w:type="dxa"/>
              <w:right w:w="15" w:type="dxa"/>
            </w:tcMar>
            <w:vAlign w:val="center"/>
          </w:tcPr>
          <w:p>
            <w:pPr>
              <w:rPr>
                <w:kern w:val="21"/>
                <w:szCs w:val="21"/>
              </w:rPr>
            </w:pPr>
            <w:r>
              <w:rPr>
                <w:rFonts w:hint="eastAsia"/>
                <w:szCs w:val="21"/>
              </w:rPr>
              <w:t>手防护：戴一般作业防护手套。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 w:hRule="atLeast"/>
          <w:jc w:val="center"/>
        </w:trPr>
        <w:tc>
          <w:tcPr>
            <w:tcW w:w="552" w:type="dxa"/>
            <w:vMerge w:val="continue"/>
            <w:tcBorders>
              <w:tl2br w:val="nil"/>
              <w:tr2bl w:val="nil"/>
            </w:tcBorders>
            <w:vAlign w:val="center"/>
          </w:tcPr>
          <w:p>
            <w:pPr>
              <w:jc w:val="center"/>
              <w:rPr>
                <w:kern w:val="21"/>
                <w:szCs w:val="21"/>
              </w:rPr>
            </w:pPr>
          </w:p>
        </w:tc>
        <w:tc>
          <w:tcPr>
            <w:tcW w:w="9166"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其它防护：避免高浓度吸入。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73" w:hRule="atLeast"/>
          <w:jc w:val="center"/>
        </w:trPr>
        <w:tc>
          <w:tcPr>
            <w:tcW w:w="552" w:type="dxa"/>
            <w:tcBorders>
              <w:tl2br w:val="nil"/>
              <w:tr2bl w:val="nil"/>
            </w:tcBorders>
            <w:tcMar>
              <w:top w:w="15" w:type="dxa"/>
              <w:left w:w="15" w:type="dxa"/>
              <w:bottom w:w="15" w:type="dxa"/>
              <w:right w:w="15" w:type="dxa"/>
            </w:tcMar>
            <w:vAlign w:val="center"/>
          </w:tcPr>
          <w:p>
            <w:pPr>
              <w:jc w:val="center"/>
              <w:rPr>
                <w:kern w:val="21"/>
                <w:szCs w:val="21"/>
              </w:rPr>
            </w:pPr>
            <w:r>
              <w:rPr>
                <w:rFonts w:hint="eastAsia"/>
                <w:szCs w:val="21"/>
              </w:rPr>
              <w:t>泄漏处理</w:t>
            </w:r>
          </w:p>
        </w:tc>
        <w:tc>
          <w:tcPr>
            <w:tcW w:w="9166"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pPr>
        <w:spacing w:line="500" w:lineRule="exact"/>
        <w:ind w:firstLine="482"/>
        <w:jc w:val="center"/>
        <w:rPr>
          <w:rFonts w:ascii="宋体" w:hAnsi="宋体" w:cs="宋体"/>
          <w:sz w:val="24"/>
        </w:rPr>
      </w:pPr>
      <w:r>
        <w:rPr>
          <w:rFonts w:hint="eastAsia" w:ascii="宋体" w:hAnsi="宋体" w:cs="宋体"/>
          <w:sz w:val="24"/>
        </w:rPr>
        <w:t>表3-5  乙炔理化特性表</w:t>
      </w:r>
    </w:p>
    <w:tbl>
      <w:tblPr>
        <w:tblStyle w:val="52"/>
        <w:tblW w:w="9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3"/>
        <w:gridCol w:w="2285"/>
        <w:gridCol w:w="622"/>
        <w:gridCol w:w="923"/>
        <w:gridCol w:w="300"/>
        <w:gridCol w:w="51"/>
        <w:gridCol w:w="258"/>
        <w:gridCol w:w="512"/>
        <w:gridCol w:w="1137"/>
        <w:gridCol w:w="266"/>
        <w:gridCol w:w="482"/>
        <w:gridCol w:w="2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restart"/>
            <w:tcBorders>
              <w:tl2br w:val="nil"/>
              <w:tr2bl w:val="nil"/>
            </w:tcBorders>
            <w:tcMar>
              <w:top w:w="15" w:type="dxa"/>
              <w:left w:w="15" w:type="dxa"/>
              <w:bottom w:w="15" w:type="dxa"/>
              <w:right w:w="15" w:type="dxa"/>
            </w:tcMar>
            <w:vAlign w:val="center"/>
          </w:tcPr>
          <w:p>
            <w:pPr>
              <w:rPr>
                <w:kern w:val="21"/>
                <w:szCs w:val="21"/>
              </w:rPr>
            </w:pPr>
            <w:r>
              <w:rPr>
                <w:rFonts w:hint="eastAsia"/>
                <w:szCs w:val="21"/>
              </w:rPr>
              <w:t>标识</w:t>
            </w:r>
          </w:p>
        </w:tc>
        <w:tc>
          <w:tcPr>
            <w:tcW w:w="2907"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中文名：乙炔</w:t>
            </w:r>
          </w:p>
        </w:tc>
        <w:tc>
          <w:tcPr>
            <w:tcW w:w="6318" w:type="dxa"/>
            <w:gridSpan w:val="9"/>
            <w:tcBorders>
              <w:tl2br w:val="nil"/>
              <w:tr2bl w:val="nil"/>
            </w:tcBorders>
            <w:tcMar>
              <w:top w:w="15" w:type="dxa"/>
              <w:left w:w="15" w:type="dxa"/>
              <w:bottom w:w="15" w:type="dxa"/>
              <w:right w:w="15" w:type="dxa"/>
            </w:tcMar>
            <w:vAlign w:val="center"/>
          </w:tcPr>
          <w:p>
            <w:pPr>
              <w:rPr>
                <w:kern w:val="21"/>
                <w:szCs w:val="21"/>
              </w:rPr>
            </w:pPr>
            <w:r>
              <w:rPr>
                <w:rFonts w:hint="eastAsia"/>
                <w:szCs w:val="21"/>
              </w:rPr>
              <w:t>英文名：</w:t>
            </w:r>
            <w:r>
              <w:rPr>
                <w:szCs w:val="21"/>
              </w:rPr>
              <w:t>acetylene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continue"/>
            <w:tcBorders>
              <w:tl2br w:val="nil"/>
              <w:tr2bl w:val="nil"/>
            </w:tcBorders>
            <w:vAlign w:val="center"/>
          </w:tcPr>
          <w:p>
            <w:pPr>
              <w:rPr>
                <w:kern w:val="21"/>
                <w:szCs w:val="21"/>
              </w:rPr>
            </w:pPr>
          </w:p>
        </w:tc>
        <w:tc>
          <w:tcPr>
            <w:tcW w:w="2907" w:type="dxa"/>
            <w:gridSpan w:val="2"/>
            <w:tcBorders>
              <w:tl2br w:val="nil"/>
              <w:tr2bl w:val="nil"/>
            </w:tcBorders>
            <w:tcMar>
              <w:top w:w="15" w:type="dxa"/>
              <w:left w:w="15" w:type="dxa"/>
              <w:bottom w:w="15" w:type="dxa"/>
              <w:right w:w="15" w:type="dxa"/>
            </w:tcMar>
            <w:vAlign w:val="center"/>
          </w:tcPr>
          <w:p>
            <w:pPr>
              <w:rPr>
                <w:kern w:val="21"/>
                <w:szCs w:val="21"/>
              </w:rPr>
            </w:pPr>
            <w:r>
              <w:rPr>
                <w:szCs w:val="21"/>
              </w:rPr>
              <w:t>CAS</w:t>
            </w:r>
            <w:r>
              <w:rPr>
                <w:rFonts w:hint="eastAsia"/>
                <w:szCs w:val="21"/>
              </w:rPr>
              <w:t>号：</w:t>
            </w:r>
            <w:r>
              <w:rPr>
                <w:szCs w:val="21"/>
              </w:rPr>
              <w:t>74-86-2</w:t>
            </w:r>
          </w:p>
        </w:tc>
        <w:tc>
          <w:tcPr>
            <w:tcW w:w="3929" w:type="dxa"/>
            <w:gridSpan w:val="8"/>
            <w:tcBorders>
              <w:tl2br w:val="nil"/>
              <w:tr2bl w:val="nil"/>
            </w:tcBorders>
            <w:tcMar>
              <w:top w:w="15" w:type="dxa"/>
              <w:left w:w="15" w:type="dxa"/>
              <w:bottom w:w="15" w:type="dxa"/>
              <w:right w:w="15" w:type="dxa"/>
            </w:tcMar>
            <w:vAlign w:val="center"/>
          </w:tcPr>
          <w:p>
            <w:pPr>
              <w:rPr>
                <w:kern w:val="21"/>
                <w:szCs w:val="21"/>
              </w:rPr>
            </w:pPr>
            <w:r>
              <w:rPr>
                <w:szCs w:val="21"/>
              </w:rPr>
              <w:t>UN</w:t>
            </w:r>
            <w:r>
              <w:rPr>
                <w:rFonts w:hint="eastAsia"/>
                <w:szCs w:val="21"/>
              </w:rPr>
              <w:t>编号：</w:t>
            </w:r>
            <w:r>
              <w:rPr>
                <w:szCs w:val="21"/>
              </w:rPr>
              <w:t>1001</w:t>
            </w:r>
          </w:p>
        </w:tc>
        <w:tc>
          <w:tcPr>
            <w:tcW w:w="2389" w:type="dxa"/>
            <w:tcBorders>
              <w:tl2br w:val="nil"/>
              <w:tr2bl w:val="nil"/>
            </w:tcBorders>
            <w:tcMar>
              <w:top w:w="15" w:type="dxa"/>
              <w:left w:w="15" w:type="dxa"/>
              <w:bottom w:w="15" w:type="dxa"/>
              <w:right w:w="15" w:type="dxa"/>
            </w:tcMar>
            <w:vAlign w:val="center"/>
          </w:tcPr>
          <w:p>
            <w:pPr>
              <w:rPr>
                <w:kern w:val="21"/>
                <w:szCs w:val="21"/>
              </w:rPr>
            </w:pPr>
            <w:r>
              <w:rPr>
                <w:rFonts w:hint="eastAsia"/>
                <w:szCs w:val="21"/>
              </w:rPr>
              <w:t>危险货物编号：</w:t>
            </w:r>
            <w:r>
              <w:rPr>
                <w:szCs w:val="21"/>
              </w:rPr>
              <w:t>21024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restart"/>
            <w:tcBorders>
              <w:tl2br w:val="nil"/>
              <w:tr2bl w:val="nil"/>
            </w:tcBorders>
            <w:tcMar>
              <w:top w:w="15" w:type="dxa"/>
              <w:left w:w="15" w:type="dxa"/>
              <w:bottom w:w="15" w:type="dxa"/>
              <w:right w:w="15" w:type="dxa"/>
            </w:tcMar>
            <w:vAlign w:val="center"/>
          </w:tcPr>
          <w:p>
            <w:pPr>
              <w:rPr>
                <w:kern w:val="21"/>
                <w:szCs w:val="21"/>
              </w:rPr>
            </w:pPr>
            <w:r>
              <w:rPr>
                <w:rFonts w:hint="eastAsia"/>
                <w:szCs w:val="21"/>
              </w:rPr>
              <w:t>理化性质</w:t>
            </w: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性状：无色无臭气体，工业品有使人不愉快的大蒜气味。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主要用途：是有机合成的重要原料之一。亦是合成橡胶、合成纤维和塑料的单体，也用于氧炔焊割。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continue"/>
            <w:tcBorders>
              <w:tl2br w:val="nil"/>
              <w:tr2bl w:val="nil"/>
            </w:tcBorders>
            <w:vAlign w:val="center"/>
          </w:tcPr>
          <w:p>
            <w:pPr>
              <w:rPr>
                <w:kern w:val="21"/>
                <w:szCs w:val="21"/>
              </w:rPr>
            </w:pPr>
          </w:p>
        </w:tc>
        <w:tc>
          <w:tcPr>
            <w:tcW w:w="2907"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相对密度</w:t>
            </w:r>
            <w:r>
              <w:rPr>
                <w:szCs w:val="21"/>
              </w:rPr>
              <w:t>(</w:t>
            </w:r>
            <w:r>
              <w:rPr>
                <w:rFonts w:hint="eastAsia"/>
                <w:szCs w:val="21"/>
              </w:rPr>
              <w:t>水</w:t>
            </w:r>
            <w:r>
              <w:rPr>
                <w:szCs w:val="21"/>
              </w:rPr>
              <w:t>=1)</w:t>
            </w:r>
            <w:r>
              <w:rPr>
                <w:rFonts w:hint="eastAsia"/>
                <w:szCs w:val="21"/>
              </w:rPr>
              <w:t>：</w:t>
            </w:r>
            <w:r>
              <w:rPr>
                <w:szCs w:val="21"/>
              </w:rPr>
              <w:t>0.62</w:t>
            </w:r>
          </w:p>
        </w:tc>
        <w:tc>
          <w:tcPr>
            <w:tcW w:w="3447" w:type="dxa"/>
            <w:gridSpan w:val="7"/>
            <w:tcBorders>
              <w:tl2br w:val="nil"/>
              <w:tr2bl w:val="nil"/>
            </w:tcBorders>
            <w:tcMar>
              <w:top w:w="15" w:type="dxa"/>
              <w:left w:w="15" w:type="dxa"/>
              <w:bottom w:w="15" w:type="dxa"/>
              <w:right w:w="15" w:type="dxa"/>
            </w:tcMar>
            <w:vAlign w:val="center"/>
          </w:tcPr>
          <w:p>
            <w:pPr>
              <w:rPr>
                <w:kern w:val="21"/>
                <w:szCs w:val="21"/>
              </w:rPr>
            </w:pPr>
            <w:r>
              <w:rPr>
                <w:rFonts w:hint="eastAsia"/>
                <w:szCs w:val="21"/>
              </w:rPr>
              <w:t>饱和蒸汽压</w:t>
            </w:r>
            <w:r>
              <w:rPr>
                <w:szCs w:val="21"/>
              </w:rPr>
              <w:t>(kPa)</w:t>
            </w:r>
            <w:r>
              <w:rPr>
                <w:rFonts w:hint="eastAsia"/>
                <w:szCs w:val="21"/>
              </w:rPr>
              <w:t>：</w:t>
            </w:r>
            <w:r>
              <w:rPr>
                <w:szCs w:val="21"/>
              </w:rPr>
              <w:t>4053</w:t>
            </w:r>
            <w:r>
              <w:rPr>
                <w:rFonts w:hint="eastAsia"/>
                <w:szCs w:val="21"/>
              </w:rPr>
              <w:t>（</w:t>
            </w:r>
            <w:r>
              <w:rPr>
                <w:szCs w:val="21"/>
              </w:rPr>
              <w:t>16.8</w:t>
            </w:r>
            <w:r>
              <w:rPr>
                <w:rFonts w:hint="eastAsia"/>
                <w:szCs w:val="21"/>
              </w:rPr>
              <w:t>℃）</w:t>
            </w:r>
          </w:p>
        </w:tc>
        <w:tc>
          <w:tcPr>
            <w:tcW w:w="2871"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临界温度</w:t>
            </w:r>
            <w:r>
              <w:rPr>
                <w:szCs w:val="21"/>
              </w:rPr>
              <w:t>(</w:t>
            </w:r>
            <w:r>
              <w:rPr>
                <w:rFonts w:hint="eastAsia"/>
                <w:szCs w:val="21"/>
              </w:rPr>
              <w:t>℃</w:t>
            </w:r>
            <w:r>
              <w:rPr>
                <w:szCs w:val="21"/>
              </w:rPr>
              <w:t>)</w:t>
            </w:r>
            <w:r>
              <w:rPr>
                <w:rFonts w:hint="eastAsia"/>
                <w:szCs w:val="21"/>
              </w:rPr>
              <w:t>：</w:t>
            </w:r>
            <w:r>
              <w:rPr>
                <w:szCs w:val="21"/>
              </w:rPr>
              <w:t>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continue"/>
            <w:tcBorders>
              <w:tl2br w:val="nil"/>
              <w:tr2bl w:val="nil"/>
            </w:tcBorders>
            <w:vAlign w:val="center"/>
          </w:tcPr>
          <w:p>
            <w:pPr>
              <w:rPr>
                <w:kern w:val="21"/>
                <w:szCs w:val="21"/>
              </w:rPr>
            </w:pPr>
          </w:p>
        </w:tc>
        <w:tc>
          <w:tcPr>
            <w:tcW w:w="2907"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相对密度</w:t>
            </w:r>
            <w:r>
              <w:rPr>
                <w:szCs w:val="21"/>
              </w:rPr>
              <w:t>(</w:t>
            </w:r>
            <w:r>
              <w:rPr>
                <w:rFonts w:hint="eastAsia"/>
                <w:szCs w:val="21"/>
              </w:rPr>
              <w:t>空气</w:t>
            </w:r>
            <w:r>
              <w:rPr>
                <w:szCs w:val="21"/>
              </w:rPr>
              <w:t>=1): 0.91</w:t>
            </w:r>
          </w:p>
        </w:tc>
        <w:tc>
          <w:tcPr>
            <w:tcW w:w="3447" w:type="dxa"/>
            <w:gridSpan w:val="7"/>
            <w:tcBorders>
              <w:tl2br w:val="nil"/>
              <w:tr2bl w:val="nil"/>
            </w:tcBorders>
            <w:tcMar>
              <w:top w:w="15" w:type="dxa"/>
              <w:left w:w="15" w:type="dxa"/>
              <w:bottom w:w="15" w:type="dxa"/>
              <w:right w:w="15" w:type="dxa"/>
            </w:tcMar>
            <w:vAlign w:val="center"/>
          </w:tcPr>
          <w:p>
            <w:pPr>
              <w:rPr>
                <w:kern w:val="21"/>
                <w:szCs w:val="21"/>
              </w:rPr>
            </w:pPr>
            <w:r>
              <w:rPr>
                <w:rFonts w:hint="eastAsia"/>
                <w:szCs w:val="21"/>
              </w:rPr>
              <w:t>闪点</w:t>
            </w:r>
            <w:r>
              <w:rPr>
                <w:szCs w:val="21"/>
              </w:rPr>
              <w:t>(</w:t>
            </w:r>
            <w:r>
              <w:rPr>
                <w:rFonts w:hint="eastAsia"/>
                <w:szCs w:val="21"/>
              </w:rPr>
              <w:t>℃</w:t>
            </w:r>
            <w:r>
              <w:rPr>
                <w:szCs w:val="21"/>
              </w:rPr>
              <w:t>)</w:t>
            </w:r>
            <w:r>
              <w:rPr>
                <w:rFonts w:hint="eastAsia"/>
                <w:szCs w:val="21"/>
              </w:rPr>
              <w:t>：不适用</w:t>
            </w:r>
          </w:p>
        </w:tc>
        <w:tc>
          <w:tcPr>
            <w:tcW w:w="2871"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临界压力</w:t>
            </w:r>
            <w:r>
              <w:rPr>
                <w:szCs w:val="21"/>
              </w:rPr>
              <w:t>(MPa)</w:t>
            </w:r>
            <w:r>
              <w:rPr>
                <w:rFonts w:hint="eastAsia"/>
                <w:szCs w:val="21"/>
              </w:rPr>
              <w:t>：</w:t>
            </w:r>
            <w:r>
              <w:rPr>
                <w:szCs w:val="21"/>
              </w:rPr>
              <w:t>6.14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continue"/>
            <w:tcBorders>
              <w:tl2br w:val="nil"/>
              <w:tr2bl w:val="nil"/>
            </w:tcBorders>
            <w:vAlign w:val="center"/>
          </w:tcPr>
          <w:p>
            <w:pPr>
              <w:rPr>
                <w:kern w:val="21"/>
                <w:szCs w:val="21"/>
              </w:rPr>
            </w:pPr>
          </w:p>
        </w:tc>
        <w:tc>
          <w:tcPr>
            <w:tcW w:w="4439" w:type="dxa"/>
            <w:gridSpan w:val="6"/>
            <w:tcBorders>
              <w:tl2br w:val="nil"/>
              <w:tr2bl w:val="nil"/>
            </w:tcBorders>
            <w:tcMar>
              <w:top w:w="15" w:type="dxa"/>
              <w:left w:w="15" w:type="dxa"/>
              <w:bottom w:w="15" w:type="dxa"/>
              <w:right w:w="15" w:type="dxa"/>
            </w:tcMar>
            <w:vAlign w:val="center"/>
          </w:tcPr>
          <w:p>
            <w:pPr>
              <w:rPr>
                <w:kern w:val="21"/>
                <w:szCs w:val="21"/>
              </w:rPr>
            </w:pPr>
            <w:r>
              <w:rPr>
                <w:rFonts w:hint="eastAsia"/>
                <w:szCs w:val="21"/>
              </w:rPr>
              <w:t>熔点：</w:t>
            </w:r>
            <w:r>
              <w:rPr>
                <w:szCs w:val="21"/>
              </w:rPr>
              <w:t>-81.8</w:t>
            </w:r>
            <w:r>
              <w:rPr>
                <w:rFonts w:hint="eastAsia"/>
                <w:szCs w:val="21"/>
              </w:rPr>
              <w:t>（</w:t>
            </w:r>
            <w:r>
              <w:rPr>
                <w:szCs w:val="21"/>
              </w:rPr>
              <w:t>119kPa</w:t>
            </w:r>
            <w:r>
              <w:rPr>
                <w:rFonts w:hint="eastAsia"/>
                <w:szCs w:val="21"/>
              </w:rPr>
              <w:t>）</w:t>
            </w:r>
          </w:p>
        </w:tc>
        <w:tc>
          <w:tcPr>
            <w:tcW w:w="4786" w:type="dxa"/>
            <w:gridSpan w:val="5"/>
            <w:tcBorders>
              <w:tl2br w:val="nil"/>
              <w:tr2bl w:val="nil"/>
            </w:tcBorders>
            <w:vAlign w:val="center"/>
          </w:tcPr>
          <w:p>
            <w:pPr>
              <w:rPr>
                <w:kern w:val="21"/>
                <w:szCs w:val="21"/>
              </w:rPr>
            </w:pPr>
            <w:r>
              <w:rPr>
                <w:rFonts w:hint="eastAsia"/>
                <w:szCs w:val="21"/>
              </w:rPr>
              <w:t>沸点：</w:t>
            </w:r>
            <w:r>
              <w:rPr>
                <w:szCs w:val="21"/>
              </w:rPr>
              <w:t>-83.8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溶解性：微溶于水、乙醇，溶于丙酮、氯仿、苯。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04"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jc w:val="center"/>
        </w:trPr>
        <w:tc>
          <w:tcPr>
            <w:tcW w:w="553" w:type="dxa"/>
            <w:vMerge w:val="continue"/>
            <w:tcBorders>
              <w:tl2br w:val="nil"/>
              <w:tr2bl w:val="nil"/>
            </w:tcBorders>
            <w:vAlign w:val="center"/>
          </w:tcPr>
          <w:p>
            <w:pPr>
              <w:rPr>
                <w:kern w:val="21"/>
                <w:szCs w:val="21"/>
              </w:rPr>
            </w:pPr>
          </w:p>
        </w:tc>
        <w:tc>
          <w:tcPr>
            <w:tcW w:w="2285" w:type="dxa"/>
            <w:tcBorders>
              <w:tl2br w:val="nil"/>
              <w:tr2bl w:val="nil"/>
            </w:tcBorders>
            <w:tcMar>
              <w:top w:w="15" w:type="dxa"/>
              <w:left w:w="15" w:type="dxa"/>
              <w:bottom w:w="15" w:type="dxa"/>
              <w:right w:w="15" w:type="dxa"/>
            </w:tcMar>
            <w:vAlign w:val="center"/>
          </w:tcPr>
          <w:p>
            <w:pPr>
              <w:rPr>
                <w:kern w:val="21"/>
                <w:szCs w:val="21"/>
              </w:rPr>
            </w:pPr>
            <w:r>
              <w:rPr>
                <w:rFonts w:hint="eastAsia"/>
                <w:szCs w:val="21"/>
              </w:rPr>
              <w:t>燃烧分解产物：一氧化碳、二氧化碳。</w:t>
            </w:r>
          </w:p>
        </w:tc>
        <w:tc>
          <w:tcPr>
            <w:tcW w:w="1545" w:type="dxa"/>
            <w:gridSpan w:val="2"/>
            <w:tcBorders>
              <w:tl2br w:val="nil"/>
              <w:tr2bl w:val="nil"/>
            </w:tcBorders>
            <w:tcMar>
              <w:top w:w="15" w:type="dxa"/>
              <w:left w:w="15" w:type="dxa"/>
              <w:bottom w:w="15" w:type="dxa"/>
              <w:right w:w="15" w:type="dxa"/>
            </w:tcMar>
            <w:vAlign w:val="center"/>
          </w:tcPr>
          <w:p>
            <w:pPr>
              <w:rPr>
                <w:kern w:val="21"/>
                <w:szCs w:val="21"/>
              </w:rPr>
            </w:pPr>
            <w:r>
              <w:rPr>
                <w:rFonts w:hint="eastAsia"/>
                <w:szCs w:val="21"/>
              </w:rPr>
              <w:t>稳定性：稳定</w:t>
            </w:r>
          </w:p>
        </w:tc>
        <w:tc>
          <w:tcPr>
            <w:tcW w:w="2258" w:type="dxa"/>
            <w:gridSpan w:val="5"/>
            <w:tcBorders>
              <w:tl2br w:val="nil"/>
              <w:tr2bl w:val="nil"/>
            </w:tcBorders>
            <w:tcMar>
              <w:top w:w="15" w:type="dxa"/>
              <w:left w:w="15" w:type="dxa"/>
              <w:bottom w:w="15" w:type="dxa"/>
              <w:right w:w="15" w:type="dxa"/>
            </w:tcMar>
            <w:vAlign w:val="center"/>
          </w:tcPr>
          <w:p>
            <w:pPr>
              <w:rPr>
                <w:kern w:val="21"/>
                <w:szCs w:val="21"/>
              </w:rPr>
            </w:pPr>
            <w:r>
              <w:rPr>
                <w:rFonts w:hint="eastAsia"/>
                <w:szCs w:val="21"/>
              </w:rPr>
              <w:t>聚合危害：</w:t>
            </w:r>
          </w:p>
        </w:tc>
        <w:tc>
          <w:tcPr>
            <w:tcW w:w="3137" w:type="dxa"/>
            <w:gridSpan w:val="3"/>
            <w:tcBorders>
              <w:tl2br w:val="nil"/>
              <w:tr2bl w:val="nil"/>
            </w:tcBorders>
            <w:tcMar>
              <w:top w:w="15" w:type="dxa"/>
              <w:left w:w="15" w:type="dxa"/>
              <w:bottom w:w="15" w:type="dxa"/>
              <w:right w:w="15" w:type="dxa"/>
            </w:tcMar>
            <w:vAlign w:val="center"/>
          </w:tcPr>
          <w:p>
            <w:pPr>
              <w:rPr>
                <w:kern w:val="21"/>
                <w:szCs w:val="21"/>
              </w:rPr>
            </w:pPr>
            <w:r>
              <w:rPr>
                <w:rFonts w:hint="eastAsia"/>
                <w:szCs w:val="21"/>
              </w:rPr>
              <w:t>禁忌物：强氧化剂、强酸、卤素。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0" w:hRule="atLeast"/>
          <w:jc w:val="center"/>
        </w:trPr>
        <w:tc>
          <w:tcPr>
            <w:tcW w:w="553" w:type="dxa"/>
            <w:vMerge w:val="restart"/>
            <w:tcBorders>
              <w:tl2br w:val="nil"/>
              <w:tr2bl w:val="nil"/>
            </w:tcBorders>
            <w:tcMar>
              <w:top w:w="15" w:type="dxa"/>
              <w:left w:w="15" w:type="dxa"/>
              <w:bottom w:w="15" w:type="dxa"/>
              <w:right w:w="15" w:type="dxa"/>
            </w:tcMar>
            <w:vAlign w:val="center"/>
          </w:tcPr>
          <w:p>
            <w:pPr>
              <w:rPr>
                <w:kern w:val="21"/>
                <w:szCs w:val="21"/>
              </w:rPr>
            </w:pPr>
            <w:r>
              <w:rPr>
                <w:rFonts w:hint="eastAsia"/>
                <w:szCs w:val="21"/>
              </w:rPr>
              <w:t>危害</w:t>
            </w:r>
          </w:p>
        </w:tc>
        <w:tc>
          <w:tcPr>
            <w:tcW w:w="4130" w:type="dxa"/>
            <w:gridSpan w:val="4"/>
            <w:tcBorders>
              <w:tl2br w:val="nil"/>
              <w:tr2bl w:val="nil"/>
            </w:tcBorders>
            <w:tcMar>
              <w:top w:w="15" w:type="dxa"/>
              <w:left w:w="15" w:type="dxa"/>
              <w:bottom w:w="15" w:type="dxa"/>
              <w:right w:w="15" w:type="dxa"/>
            </w:tcMar>
            <w:vAlign w:val="center"/>
          </w:tcPr>
          <w:p>
            <w:pPr>
              <w:rPr>
                <w:kern w:val="21"/>
                <w:szCs w:val="21"/>
              </w:rPr>
            </w:pPr>
            <w:r>
              <w:rPr>
                <w:rFonts w:hint="eastAsia"/>
                <w:szCs w:val="21"/>
              </w:rPr>
              <w:t>危险性类别：第</w:t>
            </w:r>
            <w:r>
              <w:rPr>
                <w:szCs w:val="21"/>
              </w:rPr>
              <w:t>2.1</w:t>
            </w:r>
            <w:r>
              <w:rPr>
                <w:rFonts w:hint="eastAsia"/>
                <w:szCs w:val="21"/>
              </w:rPr>
              <w:t>类易燃气体</w:t>
            </w:r>
          </w:p>
        </w:tc>
        <w:tc>
          <w:tcPr>
            <w:tcW w:w="5095" w:type="dxa"/>
            <w:gridSpan w:val="7"/>
            <w:tcBorders>
              <w:tl2br w:val="nil"/>
              <w:tr2bl w:val="nil"/>
            </w:tcBorders>
            <w:vAlign w:val="center"/>
          </w:tcPr>
          <w:p>
            <w:pPr>
              <w:rPr>
                <w:kern w:val="21"/>
                <w:szCs w:val="21"/>
              </w:rPr>
            </w:pPr>
            <w:r>
              <w:rPr>
                <w:rFonts w:hint="eastAsia"/>
                <w:szCs w:val="21"/>
              </w:rPr>
              <w:t>侵入途径：吸入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27"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健康危害：具有弱麻醉作用。高浓度吸入可引起单纯窒息。急性中毒：暴露于</w:t>
            </w:r>
            <w:r>
              <w:rPr>
                <w:szCs w:val="21"/>
              </w:rPr>
              <w:t>20</w:t>
            </w:r>
            <w:r>
              <w:rPr>
                <w:rFonts w:hint="eastAsia"/>
                <w:szCs w:val="21"/>
              </w:rPr>
              <w:t>％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燃爆危险：本品易燃，具窒息性。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5" w:hRule="atLeast"/>
          <w:jc w:val="center"/>
        </w:trPr>
        <w:tc>
          <w:tcPr>
            <w:tcW w:w="553" w:type="dxa"/>
            <w:vMerge w:val="restart"/>
            <w:tcBorders>
              <w:tl2br w:val="nil"/>
              <w:tr2bl w:val="nil"/>
            </w:tcBorders>
            <w:tcMar>
              <w:top w:w="15" w:type="dxa"/>
              <w:left w:w="15" w:type="dxa"/>
              <w:bottom w:w="15" w:type="dxa"/>
              <w:right w:w="15" w:type="dxa"/>
            </w:tcMar>
            <w:vAlign w:val="center"/>
          </w:tcPr>
          <w:p>
            <w:pPr>
              <w:rPr>
                <w:kern w:val="21"/>
                <w:szCs w:val="21"/>
              </w:rPr>
            </w:pPr>
            <w:r>
              <w:rPr>
                <w:rFonts w:hint="eastAsia"/>
                <w:szCs w:val="21"/>
              </w:rPr>
              <w:t>包装与储运</w:t>
            </w:r>
          </w:p>
        </w:tc>
        <w:tc>
          <w:tcPr>
            <w:tcW w:w="4181" w:type="dxa"/>
            <w:gridSpan w:val="5"/>
            <w:tcBorders>
              <w:tl2br w:val="nil"/>
              <w:tr2bl w:val="nil"/>
            </w:tcBorders>
            <w:tcMar>
              <w:top w:w="15" w:type="dxa"/>
              <w:left w:w="15" w:type="dxa"/>
              <w:bottom w:w="15" w:type="dxa"/>
              <w:right w:w="15" w:type="dxa"/>
            </w:tcMar>
            <w:vAlign w:val="center"/>
          </w:tcPr>
          <w:p>
            <w:pPr>
              <w:rPr>
                <w:kern w:val="21"/>
                <w:szCs w:val="21"/>
              </w:rPr>
            </w:pPr>
            <w:r>
              <w:rPr>
                <w:rFonts w:hint="eastAsia"/>
                <w:szCs w:val="21"/>
              </w:rPr>
              <w:t>危险货物包装标志：易燃气体</w:t>
            </w:r>
          </w:p>
        </w:tc>
        <w:tc>
          <w:tcPr>
            <w:tcW w:w="5044" w:type="dxa"/>
            <w:gridSpan w:val="6"/>
            <w:tcBorders>
              <w:tl2br w:val="nil"/>
              <w:tr2bl w:val="nil"/>
            </w:tcBorders>
            <w:tcMar>
              <w:top w:w="15" w:type="dxa"/>
              <w:left w:w="15" w:type="dxa"/>
              <w:bottom w:w="15" w:type="dxa"/>
              <w:right w:w="15" w:type="dxa"/>
            </w:tcMar>
            <w:vAlign w:val="center"/>
          </w:tcPr>
          <w:p>
            <w:pPr>
              <w:rPr>
                <w:kern w:val="21"/>
                <w:szCs w:val="21"/>
              </w:rPr>
            </w:pPr>
            <w:r>
              <w:rPr>
                <w:rFonts w:hint="eastAsia"/>
                <w:szCs w:val="21"/>
              </w:rPr>
              <w:t>包装类别：</w:t>
            </w:r>
            <w:r>
              <w:rPr>
                <w:szCs w:val="21"/>
              </w:rPr>
              <w:t>O52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57"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乙炔的包装法通常是溶解在溶剂及多孔物中</w:t>
            </w:r>
            <w:r>
              <w:rPr>
                <w:szCs w:val="21"/>
              </w:rPr>
              <w:t xml:space="preserve">, </w:t>
            </w:r>
            <w:r>
              <w:rPr>
                <w:rFonts w:hint="eastAsia"/>
                <w:szCs w:val="21"/>
              </w:rPr>
              <w:t>装入钢瓶内。储存于阴凉、通风的库房。远离火种、热源。库温不宜超过</w:t>
            </w:r>
            <w:r>
              <w:rPr>
                <w:szCs w:val="21"/>
              </w:rPr>
              <w:t>30</w:t>
            </w:r>
            <w:r>
              <w:rPr>
                <w:rFonts w:hint="eastAsia"/>
                <w:szCs w:val="21"/>
              </w:rPr>
              <w:t>℃。应与氧化剂、酸类、卤素分开存放，切忌混储。采用防爆型照明、通风设施。禁止使用易产生火花的机械设备和工具。储区应备有泄漏应急处理设备。</w:t>
            </w:r>
          </w:p>
          <w:p>
            <w:pPr>
              <w:rPr>
                <w:szCs w:val="21"/>
              </w:rPr>
            </w:pPr>
            <w:r>
              <w:rPr>
                <w:rFonts w:hint="eastAsia"/>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5" w:hRule="atLeast"/>
          <w:jc w:val="center"/>
        </w:trPr>
        <w:tc>
          <w:tcPr>
            <w:tcW w:w="553" w:type="dxa"/>
            <w:vMerge w:val="restart"/>
            <w:tcBorders>
              <w:tl2br w:val="nil"/>
              <w:tr2bl w:val="nil"/>
            </w:tcBorders>
            <w:tcMar>
              <w:top w:w="15" w:type="dxa"/>
              <w:left w:w="15" w:type="dxa"/>
              <w:bottom w:w="15" w:type="dxa"/>
              <w:right w:w="15" w:type="dxa"/>
            </w:tcMar>
            <w:vAlign w:val="center"/>
          </w:tcPr>
          <w:p>
            <w:pPr>
              <w:rPr>
                <w:kern w:val="21"/>
                <w:szCs w:val="21"/>
              </w:rPr>
            </w:pPr>
            <w:r>
              <w:rPr>
                <w:rFonts w:hint="eastAsia"/>
                <w:szCs w:val="21"/>
              </w:rPr>
              <w:t>急救措施</w:t>
            </w: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眼睛接触：无数据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00"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皮肤接触：无数据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70"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食入：无数据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1"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吸入：迅速脱离现场至空气新鲜处。保持呼吸道通畅。如呼吸困难，给输氧。如呼吸停止，立即进行人工呼吸。就医。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53" w:type="dxa"/>
            <w:vMerge w:val="restart"/>
            <w:tcBorders>
              <w:tl2br w:val="nil"/>
              <w:tr2bl w:val="nil"/>
            </w:tcBorders>
            <w:tcMar>
              <w:top w:w="15" w:type="dxa"/>
              <w:left w:w="15" w:type="dxa"/>
              <w:bottom w:w="15" w:type="dxa"/>
              <w:right w:w="15" w:type="dxa"/>
            </w:tcMar>
            <w:vAlign w:val="center"/>
          </w:tcPr>
          <w:p>
            <w:pPr>
              <w:rPr>
                <w:kern w:val="21"/>
                <w:szCs w:val="21"/>
              </w:rPr>
            </w:pPr>
            <w:r>
              <w:rPr>
                <w:rFonts w:hint="eastAsia"/>
                <w:szCs w:val="21"/>
              </w:rPr>
              <w:t>防护措施</w:t>
            </w: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工程控制：生产过程密闭，全面通风。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眼睛防护：一般不需特殊防护。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5"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呼吸系统防护：一般不需要特殊防护，但建议特殊情况下，佩戴自吸过滤式防毒面具（半面罩）。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5" w:hRule="atLeast"/>
          <w:jc w:val="center"/>
        </w:trPr>
        <w:tc>
          <w:tcPr>
            <w:tcW w:w="553" w:type="dxa"/>
            <w:vMerge w:val="continue"/>
            <w:tcBorders>
              <w:tl2br w:val="nil"/>
              <w:tr2bl w:val="nil"/>
            </w:tcBorders>
            <w:vAlign w:val="center"/>
          </w:tcPr>
          <w:p>
            <w:pPr>
              <w:rPr>
                <w:kern w:val="21"/>
                <w:szCs w:val="21"/>
              </w:rPr>
            </w:pPr>
          </w:p>
        </w:tc>
        <w:tc>
          <w:tcPr>
            <w:tcW w:w="4951" w:type="dxa"/>
            <w:gridSpan w:val="7"/>
            <w:tcBorders>
              <w:tl2br w:val="nil"/>
              <w:tr2bl w:val="nil"/>
            </w:tcBorders>
            <w:tcMar>
              <w:top w:w="15" w:type="dxa"/>
              <w:left w:w="15" w:type="dxa"/>
              <w:bottom w:w="15" w:type="dxa"/>
              <w:right w:w="15" w:type="dxa"/>
            </w:tcMar>
            <w:vAlign w:val="center"/>
          </w:tcPr>
          <w:p>
            <w:pPr>
              <w:rPr>
                <w:kern w:val="21"/>
                <w:szCs w:val="21"/>
              </w:rPr>
            </w:pPr>
            <w:r>
              <w:rPr>
                <w:rFonts w:hint="eastAsia"/>
                <w:szCs w:val="21"/>
              </w:rPr>
              <w:t>身体防护：穿防静电工作服。</w:t>
            </w:r>
          </w:p>
        </w:tc>
        <w:tc>
          <w:tcPr>
            <w:tcW w:w="4274" w:type="dxa"/>
            <w:gridSpan w:val="4"/>
            <w:tcBorders>
              <w:tl2br w:val="nil"/>
              <w:tr2bl w:val="nil"/>
            </w:tcBorders>
            <w:tcMar>
              <w:top w:w="15" w:type="dxa"/>
              <w:left w:w="15" w:type="dxa"/>
              <w:bottom w:w="15" w:type="dxa"/>
              <w:right w:w="15" w:type="dxa"/>
            </w:tcMar>
            <w:vAlign w:val="center"/>
          </w:tcPr>
          <w:p>
            <w:pPr>
              <w:rPr>
                <w:kern w:val="21"/>
                <w:szCs w:val="21"/>
              </w:rPr>
            </w:pPr>
            <w:r>
              <w:rPr>
                <w:rFonts w:hint="eastAsia"/>
                <w:szCs w:val="21"/>
              </w:rPr>
              <w:t>手防护：戴一般作业防护手套。</w:t>
            </w:r>
            <w:r>
              <w:rPr>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00" w:hRule="atLeast"/>
          <w:jc w:val="center"/>
        </w:trPr>
        <w:tc>
          <w:tcPr>
            <w:tcW w:w="553" w:type="dxa"/>
            <w:vMerge w:val="continue"/>
            <w:tcBorders>
              <w:tl2br w:val="nil"/>
              <w:tr2bl w:val="nil"/>
            </w:tcBorders>
            <w:vAlign w:val="center"/>
          </w:tcPr>
          <w:p>
            <w:pPr>
              <w:rPr>
                <w:kern w:val="21"/>
                <w:szCs w:val="21"/>
              </w:rPr>
            </w:pPr>
          </w:p>
        </w:tc>
        <w:tc>
          <w:tcPr>
            <w:tcW w:w="9225" w:type="dxa"/>
            <w:gridSpan w:val="11"/>
            <w:tcBorders>
              <w:tl2br w:val="nil"/>
              <w:tr2bl w:val="nil"/>
            </w:tcBorders>
            <w:tcMar>
              <w:top w:w="15" w:type="dxa"/>
              <w:left w:w="15" w:type="dxa"/>
              <w:bottom w:w="15" w:type="dxa"/>
              <w:right w:w="15" w:type="dxa"/>
            </w:tcMar>
            <w:vAlign w:val="center"/>
          </w:tcPr>
          <w:p>
            <w:pPr>
              <w:rPr>
                <w:kern w:val="21"/>
                <w:szCs w:val="21"/>
              </w:rPr>
            </w:pPr>
            <w:r>
              <w:rPr>
                <w:rFonts w:hint="eastAsia"/>
                <w:szCs w:val="21"/>
              </w:rPr>
              <w:t>其它防护：无数据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32" w:hRule="atLeast"/>
          <w:jc w:val="center"/>
        </w:trPr>
        <w:tc>
          <w:tcPr>
            <w:tcW w:w="553" w:type="dxa"/>
            <w:tcBorders>
              <w:tl2br w:val="nil"/>
              <w:tr2bl w:val="nil"/>
            </w:tcBorders>
            <w:tcMar>
              <w:top w:w="15" w:type="dxa"/>
              <w:left w:w="15" w:type="dxa"/>
              <w:bottom w:w="15" w:type="dxa"/>
              <w:right w:w="15" w:type="dxa"/>
            </w:tcMar>
            <w:vAlign w:val="center"/>
          </w:tcPr>
          <w:p>
            <w:pPr>
              <w:rPr>
                <w:kern w:val="21"/>
                <w:szCs w:val="21"/>
              </w:rPr>
            </w:pPr>
            <w:r>
              <w:rPr>
                <w:rFonts w:hint="eastAsia"/>
                <w:szCs w:val="21"/>
              </w:rPr>
              <w:t>泄漏处理</w:t>
            </w:r>
          </w:p>
        </w:tc>
        <w:tc>
          <w:tcPr>
            <w:tcW w:w="9225" w:type="dxa"/>
            <w:gridSpan w:val="11"/>
            <w:tcBorders>
              <w:tl2br w:val="nil"/>
              <w:tr2bl w:val="nil"/>
            </w:tcBorders>
            <w:tcMar>
              <w:top w:w="15" w:type="dxa"/>
              <w:left w:w="15" w:type="dxa"/>
              <w:bottom w:w="15" w:type="dxa"/>
              <w:right w:w="15" w:type="dxa"/>
            </w:tcMar>
            <w:vAlign w:val="center"/>
          </w:tcPr>
          <w:p>
            <w:pPr>
              <w:rPr>
                <w:szCs w:val="21"/>
              </w:rPr>
            </w:pPr>
            <w:r>
              <w:rPr>
                <w:rFonts w:hint="eastAsia"/>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Pr>
        <w:spacing w:line="500" w:lineRule="exact"/>
        <w:ind w:firstLine="482"/>
        <w:jc w:val="center"/>
        <w:rPr>
          <w:rFonts w:ascii="宋体" w:hAnsi="宋体" w:cs="宋体"/>
          <w:sz w:val="24"/>
        </w:rPr>
      </w:pPr>
      <w:bookmarkStart w:id="339" w:name="_Toc416047281"/>
      <w:bookmarkStart w:id="340" w:name="_Toc22281"/>
      <w:r>
        <w:rPr>
          <w:rFonts w:hint="eastAsia" w:ascii="宋体" w:hAnsi="宋体" w:cs="宋体"/>
          <w:sz w:val="24"/>
        </w:rPr>
        <w:t>表3-6汽油理化特性表</w:t>
      </w:r>
    </w:p>
    <w:tbl>
      <w:tblPr>
        <w:tblStyle w:val="52"/>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967"/>
        <w:gridCol w:w="1363"/>
        <w:gridCol w:w="426"/>
        <w:gridCol w:w="231"/>
        <w:gridCol w:w="749"/>
        <w:gridCol w:w="703"/>
        <w:gridCol w:w="367"/>
        <w:gridCol w:w="538"/>
        <w:gridCol w:w="1094"/>
        <w:gridCol w:w="51"/>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restart"/>
            <w:noWrap/>
            <w:vAlign w:val="center"/>
          </w:tcPr>
          <w:p>
            <w:pPr>
              <w:autoSpaceDE w:val="0"/>
              <w:autoSpaceDN w:val="0"/>
              <w:snapToGrid w:val="0"/>
              <w:jc w:val="left"/>
              <w:rPr>
                <w:rFonts w:cs="Arial"/>
                <w:color w:val="000000"/>
                <w:spacing w:val="10"/>
                <w:szCs w:val="21"/>
              </w:rPr>
            </w:pPr>
            <w:r>
              <w:rPr>
                <w:rFonts w:hint="eastAsia" w:cs="Arial"/>
                <w:color w:val="000000"/>
                <w:spacing w:val="10"/>
                <w:szCs w:val="21"/>
              </w:rPr>
              <w:t>标</w:t>
            </w:r>
            <w:r>
              <w:rPr>
                <w:rFonts w:cs="Arial"/>
                <w:color w:val="000000"/>
                <w:spacing w:val="10"/>
                <w:szCs w:val="21"/>
              </w:rPr>
              <w:t>识</w:t>
            </w: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 xml:space="preserve">中文名 </w:t>
            </w:r>
          </w:p>
        </w:tc>
        <w:tc>
          <w:tcPr>
            <w:tcW w:w="7148" w:type="dxa"/>
            <w:gridSpan w:val="10"/>
            <w:noWrap/>
            <w:vAlign w:val="center"/>
          </w:tcPr>
          <w:p>
            <w:pPr>
              <w:autoSpaceDE w:val="0"/>
              <w:autoSpaceDN w:val="0"/>
              <w:snapToGrid w:val="0"/>
              <w:jc w:val="left"/>
              <w:rPr>
                <w:rFonts w:cs="Arial"/>
                <w:color w:val="00B0F0"/>
                <w:spacing w:val="10"/>
                <w:szCs w:val="21"/>
                <w:highlight w:val="red"/>
              </w:rPr>
            </w:pPr>
            <w:r>
              <w:rPr>
                <w:rFonts w:cs="Arial"/>
                <w:color w:val="00B0F0"/>
                <w:spacing w:val="10"/>
                <w:szCs w:val="21"/>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英文名</w:t>
            </w:r>
          </w:p>
        </w:tc>
        <w:tc>
          <w:tcPr>
            <w:tcW w:w="3472" w:type="dxa"/>
            <w:gridSpan w:val="5"/>
            <w:noWrap/>
            <w:vAlign w:val="center"/>
          </w:tcPr>
          <w:p>
            <w:pPr>
              <w:autoSpaceDE w:val="0"/>
              <w:autoSpaceDN w:val="0"/>
              <w:snapToGrid w:val="0"/>
              <w:jc w:val="left"/>
              <w:rPr>
                <w:rFonts w:cs="Arial"/>
                <w:color w:val="00B0F0"/>
                <w:spacing w:val="10"/>
                <w:szCs w:val="21"/>
              </w:rPr>
            </w:pPr>
            <w:r>
              <w:rPr>
                <w:rFonts w:cs="Arial"/>
                <w:color w:val="00B0F0"/>
                <w:spacing w:val="10"/>
                <w:szCs w:val="21"/>
              </w:rPr>
              <w:t>Gasoline</w:t>
            </w:r>
            <w:r>
              <w:rPr>
                <w:rFonts w:ascii="宋体" w:hAnsi="宋体" w:cs="Arial"/>
                <w:color w:val="00B0F0"/>
                <w:spacing w:val="10"/>
                <w:szCs w:val="21"/>
              </w:rPr>
              <w:t>；</w:t>
            </w:r>
            <w:r>
              <w:rPr>
                <w:color w:val="00B0F0"/>
                <w:spacing w:val="10"/>
                <w:szCs w:val="21"/>
              </w:rPr>
              <w:t>Petrol</w:t>
            </w:r>
          </w:p>
        </w:tc>
        <w:tc>
          <w:tcPr>
            <w:tcW w:w="1999" w:type="dxa"/>
            <w:gridSpan w:val="3"/>
            <w:noWrap/>
            <w:vAlign w:val="center"/>
          </w:tcPr>
          <w:p>
            <w:pPr>
              <w:autoSpaceDE w:val="0"/>
              <w:autoSpaceDN w:val="0"/>
              <w:snapToGrid w:val="0"/>
              <w:jc w:val="left"/>
              <w:rPr>
                <w:rFonts w:cs="Arial"/>
                <w:color w:val="00B0F0"/>
                <w:spacing w:val="10"/>
                <w:szCs w:val="21"/>
              </w:rPr>
            </w:pPr>
            <w:r>
              <w:rPr>
                <w:rFonts w:cs="Arial"/>
                <w:color w:val="00B0F0"/>
                <w:spacing w:val="10"/>
                <w:szCs w:val="21"/>
              </w:rPr>
              <w:t>UN</w:t>
            </w:r>
            <w:r>
              <w:rPr>
                <w:rFonts w:ascii="宋体" w:hAnsi="宋体" w:cs="Arial"/>
                <w:color w:val="00B0F0"/>
                <w:spacing w:val="10"/>
                <w:szCs w:val="21"/>
              </w:rPr>
              <w:t>编号</w:t>
            </w:r>
          </w:p>
        </w:tc>
        <w:tc>
          <w:tcPr>
            <w:tcW w:w="1677" w:type="dxa"/>
            <w:gridSpan w:val="2"/>
            <w:noWrap/>
            <w:vAlign w:val="center"/>
          </w:tcPr>
          <w:p>
            <w:pPr>
              <w:autoSpaceDE w:val="0"/>
              <w:autoSpaceDN w:val="0"/>
              <w:snapToGrid w:val="0"/>
              <w:jc w:val="left"/>
              <w:rPr>
                <w:rFonts w:cs="Arial"/>
                <w:color w:val="00B0F0"/>
                <w:spacing w:val="10"/>
                <w:szCs w:val="21"/>
              </w:rPr>
            </w:pPr>
            <w:r>
              <w:rPr>
                <w:rFonts w:cs="Arial"/>
                <w:color w:val="00B0F0"/>
                <w:spacing w:val="10"/>
                <w:szCs w:val="21"/>
              </w:rPr>
              <w:t>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restart"/>
            <w:noWrap/>
            <w:vAlign w:val="center"/>
          </w:tcPr>
          <w:p>
            <w:pPr>
              <w:autoSpaceDE w:val="0"/>
              <w:autoSpaceDN w:val="0"/>
              <w:snapToGrid w:val="0"/>
              <w:jc w:val="left"/>
              <w:rPr>
                <w:rFonts w:cs="Arial"/>
                <w:color w:val="000000"/>
                <w:spacing w:val="10"/>
                <w:szCs w:val="21"/>
              </w:rPr>
            </w:pPr>
            <w:r>
              <w:rPr>
                <w:rFonts w:cs="Arial"/>
                <w:color w:val="000000"/>
                <w:spacing w:val="10"/>
                <w:szCs w:val="21"/>
              </w:rPr>
              <w:t>理化性质</w:t>
            </w: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外观与性状</w:t>
            </w:r>
          </w:p>
        </w:tc>
        <w:tc>
          <w:tcPr>
            <w:tcW w:w="7148" w:type="dxa"/>
            <w:gridSpan w:val="10"/>
            <w:noWrap/>
            <w:vAlign w:val="center"/>
          </w:tcPr>
          <w:p>
            <w:pPr>
              <w:autoSpaceDE w:val="0"/>
              <w:autoSpaceDN w:val="0"/>
              <w:snapToGrid w:val="0"/>
              <w:jc w:val="left"/>
              <w:rPr>
                <w:rFonts w:cs="Arial"/>
                <w:color w:val="00B0F0"/>
                <w:spacing w:val="10"/>
                <w:szCs w:val="21"/>
              </w:rPr>
            </w:pPr>
            <w:r>
              <w:rPr>
                <w:rFonts w:cs="Arial"/>
                <w:color w:val="00B0F0"/>
                <w:spacing w:val="10"/>
                <w:szCs w:val="21"/>
              </w:rPr>
              <w:t>无色或淡黄色易挥发液体，具有特殊臭味。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主要成分</w:t>
            </w:r>
          </w:p>
        </w:tc>
        <w:tc>
          <w:tcPr>
            <w:tcW w:w="7148" w:type="dxa"/>
            <w:gridSpan w:val="10"/>
            <w:noWrap/>
            <w:vAlign w:val="center"/>
          </w:tcPr>
          <w:p>
            <w:pPr>
              <w:autoSpaceDE w:val="0"/>
              <w:autoSpaceDN w:val="0"/>
              <w:snapToGrid w:val="0"/>
              <w:jc w:val="left"/>
              <w:rPr>
                <w:rFonts w:cs="Arial"/>
                <w:color w:val="000000"/>
                <w:spacing w:val="10"/>
                <w:szCs w:val="21"/>
              </w:rPr>
            </w:pPr>
            <w:r>
              <w:rPr>
                <w:szCs w:val="21"/>
              </w:rPr>
              <w:t>C</w:t>
            </w:r>
            <w:r>
              <w:rPr>
                <w:szCs w:val="21"/>
                <w:vertAlign w:val="subscript"/>
              </w:rPr>
              <w:t>4</w:t>
            </w:r>
            <w:r>
              <w:rPr>
                <w:szCs w:val="21"/>
              </w:rPr>
              <w:t>～C</w:t>
            </w:r>
            <w:r>
              <w:rPr>
                <w:szCs w:val="21"/>
                <w:vertAlign w:val="subscript"/>
              </w:rPr>
              <w:t>12</w:t>
            </w:r>
            <w:r>
              <w:rPr>
                <w:szCs w:val="21"/>
              </w:rPr>
              <w:t>脂肪烃和环烷烃。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熔点（</w:t>
            </w:r>
            <w:r>
              <w:rPr>
                <w:rFonts w:ascii="宋体" w:hAnsi="宋体" w:cs="宋体"/>
                <w:color w:val="000000"/>
                <w:spacing w:val="10"/>
                <w:szCs w:val="21"/>
              </w:rPr>
              <w:t>℃</w:t>
            </w:r>
            <w:r>
              <w:rPr>
                <w:rFonts w:ascii="宋体" w:hAnsi="宋体" w:cs="Arial"/>
                <w:color w:val="000000"/>
                <w:spacing w:val="10"/>
                <w:szCs w:val="21"/>
              </w:rPr>
              <w:t>）</w:t>
            </w:r>
          </w:p>
        </w:tc>
        <w:tc>
          <w:tcPr>
            <w:tcW w:w="2020" w:type="dxa"/>
            <w:gridSpan w:val="3"/>
            <w:noWrap/>
            <w:vAlign w:val="center"/>
          </w:tcPr>
          <w:p>
            <w:pPr>
              <w:autoSpaceDE w:val="0"/>
              <w:autoSpaceDN w:val="0"/>
              <w:snapToGrid w:val="0"/>
              <w:jc w:val="left"/>
              <w:rPr>
                <w:rFonts w:cs="Arial"/>
                <w:color w:val="000000"/>
                <w:spacing w:val="10"/>
                <w:szCs w:val="21"/>
              </w:rPr>
            </w:pPr>
            <w:r>
              <w:rPr>
                <w:rFonts w:cs="Arial"/>
                <w:color w:val="000000"/>
                <w:spacing w:val="10"/>
                <w:szCs w:val="21"/>
              </w:rPr>
              <w:t>&lt;-60</w:t>
            </w:r>
          </w:p>
        </w:tc>
        <w:tc>
          <w:tcPr>
            <w:tcW w:w="2357" w:type="dxa"/>
            <w:gridSpan w:val="4"/>
            <w:noWrap/>
            <w:vAlign w:val="center"/>
          </w:tcPr>
          <w:p>
            <w:pPr>
              <w:autoSpaceDE w:val="0"/>
              <w:autoSpaceDN w:val="0"/>
              <w:snapToGrid w:val="0"/>
              <w:jc w:val="left"/>
              <w:rPr>
                <w:rFonts w:cs="Arial"/>
                <w:color w:val="000000"/>
                <w:spacing w:val="10"/>
                <w:szCs w:val="21"/>
              </w:rPr>
            </w:pPr>
            <w:r>
              <w:rPr>
                <w:rFonts w:cs="Arial"/>
                <w:color w:val="000000"/>
                <w:spacing w:val="10"/>
                <w:szCs w:val="21"/>
              </w:rPr>
              <w:t>相对密度</w:t>
            </w:r>
            <w:r>
              <w:rPr>
                <w:color w:val="000000"/>
                <w:spacing w:val="10"/>
                <w:szCs w:val="21"/>
              </w:rPr>
              <w:t>(</w:t>
            </w:r>
            <w:r>
              <w:rPr>
                <w:rFonts w:ascii="宋体" w:hAnsi="宋体" w:cs="Arial"/>
                <w:color w:val="000000"/>
                <w:spacing w:val="10"/>
                <w:szCs w:val="21"/>
              </w:rPr>
              <w:t>水</w:t>
            </w:r>
            <w:r>
              <w:rPr>
                <w:color w:val="000000"/>
                <w:spacing w:val="10"/>
                <w:szCs w:val="21"/>
              </w:rPr>
              <w:t>=1)</w:t>
            </w:r>
          </w:p>
        </w:tc>
        <w:tc>
          <w:tcPr>
            <w:tcW w:w="2771" w:type="dxa"/>
            <w:gridSpan w:val="3"/>
            <w:noWrap/>
            <w:vAlign w:val="center"/>
          </w:tcPr>
          <w:p>
            <w:pPr>
              <w:autoSpaceDE w:val="0"/>
              <w:autoSpaceDN w:val="0"/>
              <w:snapToGrid w:val="0"/>
              <w:jc w:val="left"/>
              <w:rPr>
                <w:rFonts w:cs="Arial"/>
                <w:color w:val="000000"/>
                <w:szCs w:val="21"/>
              </w:rPr>
            </w:pPr>
            <w:r>
              <w:rPr>
                <w:rFonts w:cs="Arial"/>
                <w:color w:val="000000"/>
                <w:szCs w:val="21"/>
              </w:rPr>
              <w:t>0.70</w:t>
            </w:r>
            <w:r>
              <w:rPr>
                <w:rFonts w:ascii="宋体" w:hAnsi="宋体" w:cs="Arial"/>
                <w:color w:val="000000"/>
                <w:szCs w:val="21"/>
              </w:rPr>
              <w:t>～</w:t>
            </w:r>
            <w:r>
              <w:rPr>
                <w:color w:val="000000"/>
                <w:szCs w:val="21"/>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沸点（</w:t>
            </w:r>
            <w:r>
              <w:rPr>
                <w:rFonts w:ascii="宋体" w:hAnsi="宋体" w:cs="宋体"/>
                <w:color w:val="000000"/>
                <w:spacing w:val="10"/>
                <w:szCs w:val="21"/>
              </w:rPr>
              <w:t>℃</w:t>
            </w:r>
            <w:r>
              <w:rPr>
                <w:rFonts w:ascii="宋体" w:hAnsi="宋体" w:cs="Arial"/>
                <w:color w:val="000000"/>
                <w:spacing w:val="10"/>
                <w:szCs w:val="21"/>
              </w:rPr>
              <w:t>）</w:t>
            </w:r>
          </w:p>
        </w:tc>
        <w:tc>
          <w:tcPr>
            <w:tcW w:w="2020" w:type="dxa"/>
            <w:gridSpan w:val="3"/>
            <w:noWrap/>
            <w:vAlign w:val="center"/>
          </w:tcPr>
          <w:p>
            <w:pPr>
              <w:autoSpaceDE w:val="0"/>
              <w:autoSpaceDN w:val="0"/>
              <w:snapToGrid w:val="0"/>
              <w:jc w:val="left"/>
              <w:rPr>
                <w:rFonts w:cs="Arial"/>
                <w:color w:val="000000"/>
                <w:spacing w:val="10"/>
                <w:szCs w:val="21"/>
              </w:rPr>
            </w:pPr>
            <w:r>
              <w:rPr>
                <w:rFonts w:cs="Arial"/>
                <w:color w:val="000000"/>
                <w:spacing w:val="10"/>
                <w:szCs w:val="21"/>
              </w:rPr>
              <w:t>40</w:t>
            </w:r>
            <w:r>
              <w:rPr>
                <w:rFonts w:ascii="宋体" w:hAnsi="宋体" w:cs="Arial"/>
                <w:color w:val="000000"/>
                <w:spacing w:val="10"/>
                <w:szCs w:val="21"/>
              </w:rPr>
              <w:t>～</w:t>
            </w:r>
            <w:r>
              <w:rPr>
                <w:color w:val="000000"/>
                <w:spacing w:val="10"/>
                <w:szCs w:val="21"/>
              </w:rPr>
              <w:t>200</w:t>
            </w:r>
          </w:p>
        </w:tc>
        <w:tc>
          <w:tcPr>
            <w:tcW w:w="2357" w:type="dxa"/>
            <w:gridSpan w:val="4"/>
            <w:noWrap/>
            <w:vAlign w:val="center"/>
          </w:tcPr>
          <w:p>
            <w:pPr>
              <w:autoSpaceDE w:val="0"/>
              <w:autoSpaceDN w:val="0"/>
              <w:snapToGrid w:val="0"/>
              <w:jc w:val="left"/>
              <w:rPr>
                <w:rFonts w:cs="Arial"/>
                <w:color w:val="000000"/>
                <w:spacing w:val="10"/>
                <w:szCs w:val="21"/>
              </w:rPr>
            </w:pPr>
            <w:r>
              <w:rPr>
                <w:rFonts w:cs="Arial"/>
                <w:color w:val="000000"/>
                <w:spacing w:val="10"/>
                <w:szCs w:val="21"/>
              </w:rPr>
              <w:t>饱和蒸汽压（</w:t>
            </w:r>
            <w:r>
              <w:rPr>
                <w:color w:val="000000"/>
                <w:spacing w:val="10"/>
                <w:szCs w:val="21"/>
              </w:rPr>
              <w:t>kPa</w:t>
            </w:r>
            <w:r>
              <w:rPr>
                <w:rFonts w:ascii="宋体" w:hAnsi="宋体" w:cs="Arial"/>
                <w:color w:val="000000"/>
                <w:spacing w:val="10"/>
                <w:szCs w:val="21"/>
              </w:rPr>
              <w:t>）</w:t>
            </w:r>
          </w:p>
        </w:tc>
        <w:tc>
          <w:tcPr>
            <w:tcW w:w="2771" w:type="dxa"/>
            <w:gridSpan w:val="3"/>
            <w:noWrap/>
            <w:vAlign w:val="center"/>
          </w:tcPr>
          <w:p>
            <w:pPr>
              <w:autoSpaceDE w:val="0"/>
              <w:autoSpaceDN w:val="0"/>
              <w:snapToGrid w:val="0"/>
              <w:jc w:val="left"/>
              <w:rPr>
                <w:rFonts w:cs="Arial"/>
                <w:color w:val="000000"/>
                <w:spacing w:val="10"/>
                <w:szCs w:val="21"/>
              </w:rPr>
            </w:pPr>
            <w:r>
              <w:rPr>
                <w:rFonts w:cs="Arial"/>
                <w:color w:val="000000"/>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溶解性</w:t>
            </w:r>
          </w:p>
        </w:tc>
        <w:tc>
          <w:tcPr>
            <w:tcW w:w="7148" w:type="dxa"/>
            <w:gridSpan w:val="10"/>
            <w:noWrap/>
            <w:vAlign w:val="center"/>
          </w:tcPr>
          <w:p>
            <w:pPr>
              <w:autoSpaceDE w:val="0"/>
              <w:autoSpaceDN w:val="0"/>
              <w:snapToGrid w:val="0"/>
              <w:jc w:val="left"/>
              <w:rPr>
                <w:rFonts w:cs="Arial"/>
                <w:color w:val="000000"/>
                <w:spacing w:val="10"/>
                <w:szCs w:val="21"/>
              </w:rPr>
            </w:pPr>
            <w:r>
              <w:rPr>
                <w:szCs w:val="21"/>
              </w:rPr>
              <w:t>不溶于水，易溶于苯、二硫化碳、醇、脂肪。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主要用途</w:t>
            </w:r>
          </w:p>
        </w:tc>
        <w:tc>
          <w:tcPr>
            <w:tcW w:w="7148" w:type="dxa"/>
            <w:gridSpan w:val="10"/>
            <w:noWrap/>
            <w:vAlign w:val="center"/>
          </w:tcPr>
          <w:p>
            <w:pPr>
              <w:autoSpaceDE w:val="0"/>
              <w:autoSpaceDN w:val="0"/>
              <w:snapToGrid w:val="0"/>
              <w:jc w:val="left"/>
              <w:rPr>
                <w:rFonts w:cs="Arial"/>
                <w:color w:val="000000"/>
                <w:spacing w:val="10"/>
                <w:szCs w:val="21"/>
              </w:rPr>
            </w:pPr>
            <w:r>
              <w:rPr>
                <w:szCs w:val="21"/>
              </w:rPr>
              <w:t xml:space="preserve">主要用作汽油机的燃料, </w:t>
            </w:r>
            <w:r>
              <w:rPr>
                <w:rFonts w:ascii="宋体" w:hAnsi="宋体"/>
                <w:szCs w:val="21"/>
              </w:rPr>
              <w:t>用于橡胶、制鞋、印刷、制革、颜料等行业</w:t>
            </w:r>
            <w:r>
              <w:rPr>
                <w:szCs w:val="21"/>
              </w:rPr>
              <w:t xml:space="preserve">, </w:t>
            </w:r>
            <w:r>
              <w:rPr>
                <w:rFonts w:ascii="宋体" w:hAnsi="宋体"/>
                <w:szCs w:val="21"/>
              </w:rPr>
              <w:t>也可用作机械零件的去污剂。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restart"/>
            <w:noWrap/>
            <w:vAlign w:val="center"/>
          </w:tcPr>
          <w:p>
            <w:pPr>
              <w:autoSpaceDE w:val="0"/>
              <w:autoSpaceDN w:val="0"/>
              <w:snapToGrid w:val="0"/>
              <w:jc w:val="left"/>
              <w:rPr>
                <w:rFonts w:cs="Arial"/>
                <w:color w:val="000000"/>
                <w:spacing w:val="10"/>
                <w:szCs w:val="21"/>
              </w:rPr>
            </w:pPr>
          </w:p>
          <w:p>
            <w:pPr>
              <w:autoSpaceDE w:val="0"/>
              <w:autoSpaceDN w:val="0"/>
              <w:snapToGrid w:val="0"/>
              <w:jc w:val="left"/>
              <w:rPr>
                <w:rFonts w:cs="Arial"/>
                <w:color w:val="000000"/>
                <w:spacing w:val="10"/>
                <w:szCs w:val="21"/>
              </w:rPr>
            </w:pPr>
            <w:r>
              <w:rPr>
                <w:rFonts w:cs="Arial"/>
                <w:color w:val="000000"/>
                <w:spacing w:val="10"/>
                <w:szCs w:val="21"/>
              </w:rPr>
              <w:t>健康危害</w:t>
            </w: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侵入途径</w:t>
            </w:r>
          </w:p>
        </w:tc>
        <w:tc>
          <w:tcPr>
            <w:tcW w:w="7148" w:type="dxa"/>
            <w:gridSpan w:val="10"/>
            <w:noWrap/>
            <w:vAlign w:val="center"/>
          </w:tcPr>
          <w:p>
            <w:pPr>
              <w:autoSpaceDE w:val="0"/>
              <w:autoSpaceDN w:val="0"/>
              <w:snapToGrid w:val="0"/>
              <w:jc w:val="left"/>
              <w:rPr>
                <w:rFonts w:cs="Arial"/>
                <w:color w:val="000000"/>
                <w:spacing w:val="10"/>
                <w:szCs w:val="21"/>
              </w:rPr>
            </w:pPr>
            <w:r>
              <w:rPr>
                <w:rFonts w:cs="Arial"/>
                <w:color w:val="000000"/>
                <w:spacing w:val="10"/>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健康危害</w:t>
            </w:r>
          </w:p>
        </w:tc>
        <w:tc>
          <w:tcPr>
            <w:tcW w:w="7148" w:type="dxa"/>
            <w:gridSpan w:val="10"/>
            <w:noWrap/>
            <w:vAlign w:val="center"/>
          </w:tcPr>
          <w:p>
            <w:pPr>
              <w:autoSpaceDE w:val="0"/>
              <w:autoSpaceDN w:val="0"/>
              <w:snapToGrid w:val="0"/>
              <w:jc w:val="left"/>
              <w:rPr>
                <w:rFonts w:cs="Arial"/>
                <w:color w:val="000000"/>
                <w:spacing w:val="10"/>
                <w:szCs w:val="21"/>
              </w:rPr>
            </w:pPr>
            <w:r>
              <w:rPr>
                <w:szCs w:val="21"/>
              </w:rPr>
              <w:t xml:space="preserve">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紊乱、周围神经病。严重中毒出现中毒性脑病，症状类似精神分裂症。皮肤损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restart"/>
            <w:noWrap/>
            <w:vAlign w:val="center"/>
          </w:tcPr>
          <w:p>
            <w:pPr>
              <w:autoSpaceDE w:val="0"/>
              <w:autoSpaceDN w:val="0"/>
              <w:snapToGrid w:val="0"/>
              <w:jc w:val="left"/>
              <w:rPr>
                <w:rFonts w:cs="Arial"/>
                <w:color w:val="000000"/>
                <w:spacing w:val="10"/>
                <w:szCs w:val="21"/>
              </w:rPr>
            </w:pPr>
          </w:p>
          <w:p>
            <w:pPr>
              <w:autoSpaceDE w:val="0"/>
              <w:autoSpaceDN w:val="0"/>
              <w:snapToGrid w:val="0"/>
              <w:jc w:val="left"/>
              <w:rPr>
                <w:rFonts w:cs="Arial"/>
                <w:color w:val="000000"/>
                <w:spacing w:val="10"/>
                <w:szCs w:val="21"/>
              </w:rPr>
            </w:pPr>
          </w:p>
          <w:p>
            <w:pPr>
              <w:autoSpaceDE w:val="0"/>
              <w:autoSpaceDN w:val="0"/>
              <w:snapToGrid w:val="0"/>
              <w:jc w:val="left"/>
              <w:rPr>
                <w:rFonts w:cs="Arial"/>
                <w:color w:val="000000"/>
                <w:spacing w:val="10"/>
                <w:szCs w:val="21"/>
              </w:rPr>
            </w:pPr>
          </w:p>
          <w:p>
            <w:pPr>
              <w:autoSpaceDE w:val="0"/>
              <w:autoSpaceDN w:val="0"/>
              <w:snapToGrid w:val="0"/>
              <w:jc w:val="left"/>
              <w:rPr>
                <w:rFonts w:cs="Arial"/>
                <w:color w:val="000000"/>
                <w:spacing w:val="10"/>
                <w:szCs w:val="21"/>
              </w:rPr>
            </w:pPr>
            <w:r>
              <w:rPr>
                <w:rFonts w:cs="Arial"/>
                <w:color w:val="000000"/>
                <w:spacing w:val="10"/>
                <w:szCs w:val="21"/>
              </w:rPr>
              <w:t>燃烧爆炸危险性</w:t>
            </w: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燃烧性</w:t>
            </w:r>
          </w:p>
        </w:tc>
        <w:tc>
          <w:tcPr>
            <w:tcW w:w="1789" w:type="dxa"/>
            <w:gridSpan w:val="2"/>
            <w:noWrap/>
            <w:vAlign w:val="center"/>
          </w:tcPr>
          <w:p>
            <w:pPr>
              <w:autoSpaceDE w:val="0"/>
              <w:autoSpaceDN w:val="0"/>
              <w:snapToGrid w:val="0"/>
              <w:jc w:val="left"/>
              <w:rPr>
                <w:rFonts w:cs="Arial"/>
                <w:color w:val="000000"/>
                <w:spacing w:val="10"/>
                <w:szCs w:val="21"/>
              </w:rPr>
            </w:pPr>
            <w:r>
              <w:rPr>
                <w:rFonts w:hint="eastAsia" w:ascii="宋体" w:hAnsi="宋体" w:cs="Arial"/>
                <w:color w:val="000000"/>
                <w:spacing w:val="10"/>
                <w:szCs w:val="21"/>
              </w:rPr>
              <w:t>极度</w:t>
            </w:r>
            <w:r>
              <w:rPr>
                <w:rFonts w:cs="Arial"/>
                <w:color w:val="000000"/>
                <w:spacing w:val="10"/>
                <w:szCs w:val="21"/>
              </w:rPr>
              <w:t>易燃</w:t>
            </w:r>
          </w:p>
        </w:tc>
        <w:tc>
          <w:tcPr>
            <w:tcW w:w="2588" w:type="dxa"/>
            <w:gridSpan w:val="5"/>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有害燃烧产物</w:t>
            </w:r>
          </w:p>
        </w:tc>
        <w:tc>
          <w:tcPr>
            <w:tcW w:w="2771" w:type="dxa"/>
            <w:gridSpan w:val="3"/>
            <w:noWrap/>
            <w:vAlign w:val="center"/>
          </w:tcPr>
          <w:p>
            <w:pPr>
              <w:autoSpaceDE w:val="0"/>
              <w:autoSpaceDN w:val="0"/>
              <w:snapToGrid w:val="0"/>
              <w:jc w:val="left"/>
              <w:rPr>
                <w:rFonts w:cs="Arial"/>
                <w:color w:val="000000"/>
                <w:spacing w:val="10"/>
                <w:szCs w:val="21"/>
              </w:rPr>
            </w:pPr>
            <w:r>
              <w:rPr>
                <w:rFonts w:cs="Arial"/>
                <w:color w:val="000000"/>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Gulim"/>
                <w:color w:val="000000"/>
                <w:spacing w:val="10"/>
                <w:szCs w:val="21"/>
              </w:rPr>
            </w:pPr>
            <w:r>
              <w:rPr>
                <w:rFonts w:cs="Arial"/>
                <w:color w:val="000000"/>
                <w:spacing w:val="10"/>
                <w:szCs w:val="21"/>
              </w:rPr>
              <w:t>闪点</w:t>
            </w:r>
            <w:r>
              <w:rPr>
                <w:color w:val="000000"/>
                <w:spacing w:val="10"/>
                <w:szCs w:val="21"/>
              </w:rPr>
              <w:t>(</w:t>
            </w:r>
            <w:r>
              <w:rPr>
                <w:rFonts w:ascii="宋体" w:hAnsi="宋体" w:cs="宋体"/>
                <w:color w:val="000000"/>
                <w:spacing w:val="10"/>
                <w:szCs w:val="21"/>
              </w:rPr>
              <w:t>℃</w:t>
            </w:r>
            <w:r>
              <w:rPr>
                <w:rFonts w:cs="Arial"/>
                <w:color w:val="000000"/>
                <w:spacing w:val="10"/>
                <w:szCs w:val="21"/>
              </w:rPr>
              <w:t>)</w:t>
            </w:r>
          </w:p>
        </w:tc>
        <w:tc>
          <w:tcPr>
            <w:tcW w:w="1789" w:type="dxa"/>
            <w:gridSpan w:val="2"/>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w:t>
            </w:r>
            <w:r>
              <w:rPr>
                <w:rFonts w:cs="Arial"/>
                <w:color w:val="000000"/>
                <w:spacing w:val="10"/>
                <w:szCs w:val="21"/>
              </w:rPr>
              <w:t>-</w:t>
            </w:r>
            <w:r>
              <w:rPr>
                <w:rFonts w:hint="eastAsia" w:ascii="宋体" w:hAnsi="宋体" w:cs="Arial"/>
                <w:color w:val="000000"/>
                <w:spacing w:val="10"/>
                <w:szCs w:val="21"/>
              </w:rPr>
              <w:t>50</w:t>
            </w:r>
          </w:p>
        </w:tc>
        <w:tc>
          <w:tcPr>
            <w:tcW w:w="2588" w:type="dxa"/>
            <w:gridSpan w:val="5"/>
            <w:noWrap/>
            <w:vAlign w:val="center"/>
          </w:tcPr>
          <w:p>
            <w:pPr>
              <w:autoSpaceDE w:val="0"/>
              <w:autoSpaceDN w:val="0"/>
              <w:snapToGrid w:val="0"/>
              <w:jc w:val="left"/>
              <w:rPr>
                <w:rFonts w:cs="Arial"/>
                <w:color w:val="000000"/>
                <w:spacing w:val="10"/>
                <w:szCs w:val="21"/>
              </w:rPr>
            </w:pPr>
            <w:r>
              <w:rPr>
                <w:rFonts w:cs="Arial"/>
                <w:color w:val="000000"/>
                <w:spacing w:val="10"/>
                <w:szCs w:val="21"/>
              </w:rPr>
              <w:t>爆炸上限（</w:t>
            </w:r>
            <w:r>
              <w:rPr>
                <w:color w:val="000000"/>
                <w:spacing w:val="10"/>
                <w:szCs w:val="21"/>
              </w:rPr>
              <w:t>v%</w:t>
            </w:r>
            <w:r>
              <w:rPr>
                <w:rFonts w:ascii="宋体" w:hAnsi="宋体" w:cs="Arial"/>
                <w:color w:val="000000"/>
                <w:spacing w:val="10"/>
                <w:szCs w:val="21"/>
              </w:rPr>
              <w:t>）</w:t>
            </w:r>
          </w:p>
        </w:tc>
        <w:tc>
          <w:tcPr>
            <w:tcW w:w="2771" w:type="dxa"/>
            <w:gridSpan w:val="3"/>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Gulim"/>
                <w:color w:val="000000"/>
                <w:spacing w:val="10"/>
                <w:szCs w:val="21"/>
              </w:rPr>
            </w:pPr>
            <w:r>
              <w:rPr>
                <w:rFonts w:cs="Arial"/>
                <w:color w:val="000000"/>
                <w:spacing w:val="10"/>
                <w:szCs w:val="21"/>
              </w:rPr>
              <w:t>引燃温度</w:t>
            </w:r>
            <w:r>
              <w:rPr>
                <w:color w:val="000000"/>
                <w:spacing w:val="10"/>
                <w:szCs w:val="21"/>
              </w:rPr>
              <w:t>(</w:t>
            </w:r>
            <w:r>
              <w:rPr>
                <w:rFonts w:ascii="宋体" w:hAnsi="宋体" w:cs="宋体"/>
                <w:color w:val="000000"/>
                <w:spacing w:val="10"/>
                <w:szCs w:val="21"/>
              </w:rPr>
              <w:t>℃</w:t>
            </w:r>
            <w:r>
              <w:rPr>
                <w:rFonts w:cs="Arial"/>
                <w:color w:val="000000"/>
                <w:spacing w:val="10"/>
                <w:szCs w:val="21"/>
              </w:rPr>
              <w:t>)</w:t>
            </w:r>
          </w:p>
        </w:tc>
        <w:tc>
          <w:tcPr>
            <w:tcW w:w="1789" w:type="dxa"/>
            <w:gridSpan w:val="2"/>
            <w:noWrap/>
            <w:vAlign w:val="center"/>
          </w:tcPr>
          <w:p>
            <w:pPr>
              <w:autoSpaceDE w:val="0"/>
              <w:autoSpaceDN w:val="0"/>
              <w:snapToGrid w:val="0"/>
              <w:jc w:val="left"/>
              <w:rPr>
                <w:rFonts w:cs="Arial"/>
                <w:color w:val="000000"/>
                <w:spacing w:val="10"/>
                <w:szCs w:val="21"/>
              </w:rPr>
            </w:pPr>
            <w:r>
              <w:rPr>
                <w:rFonts w:hint="eastAsia" w:ascii="宋体" w:hAnsi="宋体" w:cs="Arial"/>
                <w:color w:val="000000"/>
                <w:spacing w:val="10"/>
                <w:szCs w:val="21"/>
              </w:rPr>
              <w:t>415</w:t>
            </w:r>
            <w:r>
              <w:rPr>
                <w:rFonts w:cs="Arial"/>
                <w:color w:val="000000"/>
                <w:spacing w:val="10"/>
                <w:szCs w:val="21"/>
              </w:rPr>
              <w:t>～</w:t>
            </w:r>
            <w:r>
              <w:rPr>
                <w:rFonts w:hint="eastAsia" w:ascii="宋体" w:hAnsi="宋体" w:cs="Arial"/>
                <w:color w:val="000000"/>
                <w:spacing w:val="10"/>
                <w:szCs w:val="21"/>
              </w:rPr>
              <w:t>530</w:t>
            </w:r>
          </w:p>
        </w:tc>
        <w:tc>
          <w:tcPr>
            <w:tcW w:w="2588" w:type="dxa"/>
            <w:gridSpan w:val="5"/>
            <w:noWrap/>
            <w:vAlign w:val="center"/>
          </w:tcPr>
          <w:p>
            <w:pPr>
              <w:autoSpaceDE w:val="0"/>
              <w:autoSpaceDN w:val="0"/>
              <w:snapToGrid w:val="0"/>
              <w:jc w:val="left"/>
              <w:rPr>
                <w:rFonts w:cs="Arial"/>
                <w:color w:val="000000"/>
                <w:spacing w:val="10"/>
                <w:szCs w:val="21"/>
              </w:rPr>
            </w:pPr>
            <w:r>
              <w:rPr>
                <w:rFonts w:cs="Arial"/>
                <w:color w:val="000000"/>
                <w:spacing w:val="10"/>
                <w:szCs w:val="21"/>
              </w:rPr>
              <w:t>爆炸下限（</w:t>
            </w:r>
            <w:r>
              <w:rPr>
                <w:color w:val="000000"/>
                <w:spacing w:val="10"/>
                <w:szCs w:val="21"/>
              </w:rPr>
              <w:t>v%</w:t>
            </w:r>
            <w:r>
              <w:rPr>
                <w:rFonts w:ascii="宋体" w:hAnsi="宋体" w:cs="Arial"/>
                <w:color w:val="000000"/>
                <w:spacing w:val="10"/>
                <w:szCs w:val="21"/>
              </w:rPr>
              <w:t>）</w:t>
            </w:r>
          </w:p>
        </w:tc>
        <w:tc>
          <w:tcPr>
            <w:tcW w:w="2771" w:type="dxa"/>
            <w:gridSpan w:val="3"/>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危险特性</w:t>
            </w:r>
          </w:p>
        </w:tc>
        <w:tc>
          <w:tcPr>
            <w:tcW w:w="7148" w:type="dxa"/>
            <w:gridSpan w:val="10"/>
            <w:noWrap/>
            <w:vAlign w:val="center"/>
          </w:tcPr>
          <w:p>
            <w:pPr>
              <w:autoSpaceDE w:val="0"/>
              <w:autoSpaceDN w:val="0"/>
              <w:snapToGrid w:val="0"/>
              <w:jc w:val="left"/>
              <w:rPr>
                <w:rFonts w:cs="Arial"/>
                <w:color w:val="000000"/>
                <w:spacing w:val="10"/>
                <w:szCs w:val="21"/>
              </w:rPr>
            </w:pPr>
            <w:r>
              <w:rPr>
                <w:szCs w:val="21"/>
              </w:rPr>
              <w:t>其蒸气与空气可形成爆炸性混合物，遇明火、高热极易燃烧爆炸。与氧化剂能发生强烈反应。其蒸气比空气重，能在较低处扩散到相当远的地方，遇火源会着火回燃。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建规火险分级</w:t>
            </w:r>
          </w:p>
        </w:tc>
        <w:tc>
          <w:tcPr>
            <w:tcW w:w="1363" w:type="dxa"/>
            <w:noWrap/>
            <w:vAlign w:val="center"/>
          </w:tcPr>
          <w:p>
            <w:pPr>
              <w:autoSpaceDE w:val="0"/>
              <w:autoSpaceDN w:val="0"/>
              <w:snapToGrid w:val="0"/>
              <w:jc w:val="left"/>
              <w:rPr>
                <w:rFonts w:cs="Arial"/>
                <w:color w:val="000000"/>
                <w:spacing w:val="10"/>
                <w:szCs w:val="21"/>
              </w:rPr>
            </w:pPr>
            <w:r>
              <w:rPr>
                <w:rFonts w:cs="Arial"/>
                <w:color w:val="000000"/>
                <w:spacing w:val="10"/>
                <w:szCs w:val="21"/>
              </w:rPr>
              <w:t>甲</w:t>
            </w:r>
          </w:p>
        </w:tc>
        <w:tc>
          <w:tcPr>
            <w:tcW w:w="1406" w:type="dxa"/>
            <w:gridSpan w:val="3"/>
            <w:noWrap/>
            <w:vAlign w:val="center"/>
          </w:tcPr>
          <w:p>
            <w:pPr>
              <w:autoSpaceDE w:val="0"/>
              <w:autoSpaceDN w:val="0"/>
              <w:snapToGrid w:val="0"/>
              <w:jc w:val="left"/>
              <w:rPr>
                <w:rFonts w:cs="Arial"/>
                <w:color w:val="000000"/>
                <w:spacing w:val="10"/>
                <w:szCs w:val="21"/>
              </w:rPr>
            </w:pPr>
            <w:r>
              <w:rPr>
                <w:rFonts w:cs="Arial"/>
                <w:color w:val="000000"/>
                <w:spacing w:val="10"/>
                <w:szCs w:val="21"/>
              </w:rPr>
              <w:t>稳定性</w:t>
            </w:r>
          </w:p>
        </w:tc>
        <w:tc>
          <w:tcPr>
            <w:tcW w:w="1070" w:type="dxa"/>
            <w:gridSpan w:val="2"/>
            <w:noWrap/>
            <w:vAlign w:val="center"/>
          </w:tcPr>
          <w:p>
            <w:pPr>
              <w:autoSpaceDE w:val="0"/>
              <w:autoSpaceDN w:val="0"/>
              <w:snapToGrid w:val="0"/>
              <w:jc w:val="left"/>
              <w:rPr>
                <w:rFonts w:cs="Arial"/>
                <w:color w:val="000000"/>
                <w:spacing w:val="10"/>
                <w:szCs w:val="21"/>
              </w:rPr>
            </w:pPr>
            <w:r>
              <w:rPr>
                <w:rFonts w:cs="Arial"/>
                <w:color w:val="000000"/>
                <w:spacing w:val="10"/>
                <w:szCs w:val="21"/>
              </w:rPr>
              <w:t>稳定</w:t>
            </w:r>
          </w:p>
        </w:tc>
        <w:tc>
          <w:tcPr>
            <w:tcW w:w="1683" w:type="dxa"/>
            <w:gridSpan w:val="3"/>
            <w:noWrap/>
            <w:vAlign w:val="center"/>
          </w:tcPr>
          <w:p>
            <w:pPr>
              <w:autoSpaceDE w:val="0"/>
              <w:autoSpaceDN w:val="0"/>
              <w:snapToGrid w:val="0"/>
              <w:jc w:val="left"/>
              <w:rPr>
                <w:rFonts w:cs="Arial"/>
                <w:color w:val="000000"/>
                <w:spacing w:val="10"/>
                <w:szCs w:val="21"/>
              </w:rPr>
            </w:pPr>
            <w:r>
              <w:rPr>
                <w:rFonts w:cs="Arial"/>
                <w:color w:val="000000"/>
                <w:spacing w:val="10"/>
                <w:szCs w:val="21"/>
              </w:rPr>
              <w:t>聚合危害</w:t>
            </w:r>
          </w:p>
        </w:tc>
        <w:tc>
          <w:tcPr>
            <w:tcW w:w="1626" w:type="dxa"/>
            <w:noWrap/>
            <w:vAlign w:val="center"/>
          </w:tcPr>
          <w:p>
            <w:pPr>
              <w:autoSpaceDE w:val="0"/>
              <w:autoSpaceDN w:val="0"/>
              <w:snapToGrid w:val="0"/>
              <w:jc w:val="left"/>
              <w:rPr>
                <w:rFonts w:cs="Arial"/>
                <w:color w:val="000000"/>
                <w:spacing w:val="10"/>
                <w:szCs w:val="21"/>
              </w:rPr>
            </w:pPr>
            <w:r>
              <w:rPr>
                <w:rFonts w:cs="Arial"/>
                <w:color w:val="000000"/>
                <w:spacing w:val="10"/>
                <w:szCs w:val="21"/>
              </w:rPr>
              <w:t>不出现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禁忌物</w:t>
            </w:r>
          </w:p>
        </w:tc>
        <w:tc>
          <w:tcPr>
            <w:tcW w:w="7148" w:type="dxa"/>
            <w:gridSpan w:val="10"/>
            <w:noWrap/>
            <w:vAlign w:val="center"/>
          </w:tcPr>
          <w:p>
            <w:pPr>
              <w:autoSpaceDE w:val="0"/>
              <w:autoSpaceDN w:val="0"/>
              <w:snapToGrid w:val="0"/>
              <w:jc w:val="left"/>
              <w:rPr>
                <w:rFonts w:cs="Arial"/>
                <w:color w:val="000000"/>
                <w:spacing w:val="10"/>
                <w:szCs w:val="21"/>
              </w:rPr>
            </w:pPr>
            <w:r>
              <w:rPr>
                <w:rFonts w:cs="Arial"/>
                <w:color w:val="000000"/>
                <w:spacing w:val="10"/>
                <w:szCs w:val="21"/>
              </w:rPr>
              <w:t>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84" w:type="dxa"/>
            <w:vMerge w:val="continue"/>
            <w:noWrap/>
            <w:vAlign w:val="center"/>
          </w:tcPr>
          <w:p>
            <w:pPr>
              <w:widowControl/>
              <w:jc w:val="left"/>
              <w:rPr>
                <w:rFonts w:cs="Arial"/>
                <w:color w:val="000000"/>
                <w:spacing w:val="10"/>
                <w:szCs w:val="21"/>
              </w:rPr>
            </w:pPr>
          </w:p>
        </w:tc>
        <w:tc>
          <w:tcPr>
            <w:tcW w:w="1967" w:type="dxa"/>
            <w:noWrap/>
            <w:vAlign w:val="center"/>
          </w:tcPr>
          <w:p>
            <w:pPr>
              <w:autoSpaceDE w:val="0"/>
              <w:autoSpaceDN w:val="0"/>
              <w:snapToGrid w:val="0"/>
              <w:jc w:val="left"/>
              <w:rPr>
                <w:rFonts w:cs="Arial"/>
                <w:color w:val="000000"/>
                <w:spacing w:val="10"/>
                <w:szCs w:val="21"/>
              </w:rPr>
            </w:pPr>
            <w:r>
              <w:rPr>
                <w:rFonts w:cs="Arial"/>
                <w:color w:val="000000"/>
                <w:spacing w:val="10"/>
                <w:szCs w:val="21"/>
              </w:rPr>
              <w:t>灭火方法</w:t>
            </w:r>
          </w:p>
        </w:tc>
        <w:tc>
          <w:tcPr>
            <w:tcW w:w="7148" w:type="dxa"/>
            <w:gridSpan w:val="10"/>
            <w:noWrap/>
            <w:vAlign w:val="center"/>
          </w:tcPr>
          <w:p>
            <w:pPr>
              <w:autoSpaceDE w:val="0"/>
              <w:autoSpaceDN w:val="0"/>
              <w:snapToGrid w:val="0"/>
              <w:jc w:val="left"/>
              <w:rPr>
                <w:rFonts w:cs="Arial"/>
                <w:color w:val="000000"/>
                <w:spacing w:val="10"/>
                <w:szCs w:val="21"/>
              </w:rPr>
            </w:pPr>
            <w:r>
              <w:rPr>
                <w:szCs w:val="21"/>
              </w:rPr>
              <w:t>喷水冷却容器，可能的话将容器从火场移至空旷处。灭火剂：泡沫、干粉、二氧化碳。用水灭火无效。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84" w:type="dxa"/>
            <w:vMerge w:val="restart"/>
            <w:noWrap/>
            <w:vAlign w:val="center"/>
          </w:tcPr>
          <w:p>
            <w:pPr>
              <w:widowControl/>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毒理学资料</w:t>
            </w: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急性毒性</w:t>
            </w:r>
          </w:p>
        </w:tc>
        <w:tc>
          <w:tcPr>
            <w:tcW w:w="7148" w:type="dxa"/>
            <w:gridSpan w:val="10"/>
            <w:noWrap/>
            <w:vAlign w:val="center"/>
          </w:tcPr>
          <w:p>
            <w:pPr>
              <w:autoSpaceDE w:val="0"/>
              <w:autoSpaceDN w:val="0"/>
              <w:snapToGrid w:val="0"/>
              <w:jc w:val="left"/>
              <w:rPr>
                <w:szCs w:val="21"/>
              </w:rPr>
            </w:pPr>
            <w:r>
              <w:rPr>
                <w:rFonts w:hint="eastAsia" w:ascii="宋体" w:hAnsi="宋体"/>
                <w:szCs w:val="21"/>
              </w:rPr>
              <w:t> </w:t>
            </w:r>
            <w:r>
              <w:rPr>
                <w:szCs w:val="21"/>
              </w:rPr>
              <w:t>LD</w:t>
            </w:r>
            <w:r>
              <w:rPr>
                <w:szCs w:val="21"/>
                <w:vertAlign w:val="subscript"/>
              </w:rPr>
              <w:t>50</w:t>
            </w:r>
            <w:r>
              <w:rPr>
                <w:szCs w:val="21"/>
              </w:rPr>
              <w:t>：67000 mg/kg(</w:t>
            </w:r>
            <w:r>
              <w:rPr>
                <w:rFonts w:ascii="宋体" w:hAnsi="宋体"/>
                <w:szCs w:val="21"/>
              </w:rPr>
              <w:t>小鼠经口</w:t>
            </w:r>
            <w:r>
              <w:rPr>
                <w:szCs w:val="21"/>
              </w:rPr>
              <w:t>)(120</w:t>
            </w:r>
            <w:r>
              <w:rPr>
                <w:rFonts w:ascii="宋体" w:hAnsi="宋体"/>
                <w:szCs w:val="21"/>
              </w:rPr>
              <w:t>号溶剂汽油</w:t>
            </w:r>
            <w:r>
              <w:rPr>
                <w:szCs w:val="21"/>
              </w:rPr>
              <w:t>)</w:t>
            </w:r>
          </w:p>
          <w:p>
            <w:pPr>
              <w:autoSpaceDE w:val="0"/>
              <w:autoSpaceDN w:val="0"/>
              <w:snapToGrid w:val="0"/>
              <w:jc w:val="left"/>
              <w:rPr>
                <w:szCs w:val="21"/>
              </w:rPr>
            </w:pPr>
            <w:r>
              <w:rPr>
                <w:rFonts w:hint="eastAsia" w:ascii="宋体" w:hAnsi="宋体"/>
                <w:szCs w:val="21"/>
              </w:rPr>
              <w:t> </w:t>
            </w:r>
            <w:r>
              <w:rPr>
                <w:szCs w:val="21"/>
              </w:rPr>
              <w:t>LC</w:t>
            </w:r>
            <w:r>
              <w:rPr>
                <w:szCs w:val="21"/>
                <w:vertAlign w:val="subscript"/>
              </w:rPr>
              <w:t>50</w:t>
            </w:r>
            <w:r>
              <w:rPr>
                <w:szCs w:val="21"/>
              </w:rPr>
              <w:t>：</w:t>
            </w:r>
            <w:r>
              <w:rPr>
                <w:rFonts w:hint="eastAsia" w:ascii="宋体" w:hAnsi="宋体"/>
                <w:szCs w:val="21"/>
              </w:rPr>
              <w:t>1000</w:t>
            </w:r>
            <w:r>
              <w:rPr>
                <w:szCs w:val="21"/>
              </w:rPr>
              <w:t>00mg/</w:t>
            </w:r>
            <w:r>
              <w:rPr>
                <w:rFonts w:ascii="Batang" w:hAnsi="Batang" w:eastAsia="Batang" w:cs="Batang"/>
                <w:szCs w:val="21"/>
              </w:rPr>
              <w:t>㎥</w:t>
            </w:r>
            <w:r>
              <w:rPr>
                <w:szCs w:val="21"/>
              </w:rPr>
              <w:t>，2</w:t>
            </w:r>
            <w:r>
              <w:rPr>
                <w:rFonts w:hint="eastAsia" w:ascii="宋体" w:hAnsi="宋体"/>
                <w:szCs w:val="21"/>
              </w:rPr>
              <w:t>h</w:t>
            </w:r>
            <w:r>
              <w:rPr>
                <w:szCs w:val="21"/>
              </w:rPr>
              <w:t>(</w:t>
            </w:r>
            <w:r>
              <w:rPr>
                <w:rFonts w:ascii="宋体" w:hAnsi="宋体"/>
                <w:szCs w:val="21"/>
              </w:rPr>
              <w:t>小鼠吸入</w:t>
            </w:r>
            <w:r>
              <w:rPr>
                <w:szCs w:val="21"/>
              </w:rPr>
              <w:t>)(120</w:t>
            </w:r>
            <w:r>
              <w:rPr>
                <w:rFonts w:ascii="宋体" w:hAnsi="宋体"/>
                <w:szCs w:val="21"/>
              </w:rPr>
              <w:t>号溶剂汽油</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刺激性</w:t>
            </w:r>
          </w:p>
        </w:tc>
        <w:tc>
          <w:tcPr>
            <w:tcW w:w="7148" w:type="dxa"/>
            <w:gridSpan w:val="10"/>
            <w:noWrap/>
            <w:vAlign w:val="center"/>
          </w:tcPr>
          <w:p>
            <w:pPr>
              <w:autoSpaceDE w:val="0"/>
              <w:autoSpaceDN w:val="0"/>
              <w:snapToGrid w:val="0"/>
              <w:jc w:val="left"/>
              <w:rPr>
                <w:szCs w:val="21"/>
              </w:rPr>
            </w:pPr>
            <w:r>
              <w:rPr>
                <w:rFonts w:hint="eastAsia" w:ascii="宋体" w:hAnsi="宋体"/>
                <w:szCs w:val="21"/>
              </w:rPr>
              <w:t> </w:t>
            </w:r>
            <w:r>
              <w:rPr>
                <w:szCs w:val="21"/>
              </w:rPr>
              <w:t>人经眼：140ppm/8</w:t>
            </w:r>
            <w:r>
              <w:rPr>
                <w:rFonts w:hint="eastAsia" w:ascii="宋体" w:hAnsi="宋体"/>
                <w:szCs w:val="21"/>
              </w:rPr>
              <w:t>h</w:t>
            </w:r>
            <w:r>
              <w:rPr>
                <w:szCs w:val="21"/>
              </w:rPr>
              <w:t>，轻度刺激。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其他有害作用</w:t>
            </w:r>
          </w:p>
        </w:tc>
        <w:tc>
          <w:tcPr>
            <w:tcW w:w="7148" w:type="dxa"/>
            <w:gridSpan w:val="10"/>
            <w:noWrap/>
            <w:vAlign w:val="center"/>
          </w:tcPr>
          <w:p>
            <w:pPr>
              <w:autoSpaceDE w:val="0"/>
              <w:autoSpaceDN w:val="0"/>
              <w:snapToGrid w:val="0"/>
              <w:jc w:val="left"/>
              <w:rPr>
                <w:szCs w:val="21"/>
              </w:rPr>
            </w:pPr>
            <w:r>
              <w:rPr>
                <w:rFonts w:hint="eastAsia" w:ascii="宋体" w:hAnsi="宋体"/>
                <w:szCs w:val="21"/>
              </w:rPr>
              <w:t> </w:t>
            </w:r>
            <w:r>
              <w:rPr>
                <w:szCs w:val="21"/>
              </w:rPr>
              <w:t>该物质对环境可能有危害，对水体应给予特别注意。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废弃处置方法</w:t>
            </w:r>
          </w:p>
        </w:tc>
        <w:tc>
          <w:tcPr>
            <w:tcW w:w="7148" w:type="dxa"/>
            <w:gridSpan w:val="10"/>
            <w:noWrap/>
            <w:vAlign w:val="center"/>
          </w:tcPr>
          <w:p>
            <w:pPr>
              <w:autoSpaceDE w:val="0"/>
              <w:autoSpaceDN w:val="0"/>
              <w:snapToGrid w:val="0"/>
              <w:jc w:val="left"/>
              <w:rPr>
                <w:szCs w:val="21"/>
              </w:rPr>
            </w:pPr>
            <w:r>
              <w:rPr>
                <w:rFonts w:hint="eastAsia" w:ascii="宋体" w:hAnsi="宋体"/>
                <w:szCs w:val="21"/>
              </w:rPr>
              <w:t> </w:t>
            </w:r>
            <w:r>
              <w:rPr>
                <w:szCs w:val="21"/>
              </w:rPr>
              <w:t>用焚烧法处置。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84" w:type="dxa"/>
            <w:vMerge w:val="restart"/>
            <w:noWrap/>
            <w:vAlign w:val="center"/>
          </w:tcPr>
          <w:p>
            <w:pPr>
              <w:widowControl/>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包装与储运</w:t>
            </w:r>
          </w:p>
        </w:tc>
        <w:tc>
          <w:tcPr>
            <w:tcW w:w="1967" w:type="dxa"/>
            <w:noWrap/>
            <w:vAlign w:val="center"/>
          </w:tcPr>
          <w:p>
            <w:pPr>
              <w:autoSpaceDE w:val="0"/>
              <w:autoSpaceDN w:val="0"/>
              <w:snapToGrid w:val="0"/>
              <w:jc w:val="left"/>
              <w:rPr>
                <w:rFonts w:ascii="宋体" w:hAnsi="宋体" w:cs="Arial"/>
                <w:spacing w:val="10"/>
                <w:szCs w:val="21"/>
              </w:rPr>
            </w:pPr>
            <w:r>
              <w:rPr>
                <w:rFonts w:hint="eastAsia" w:ascii="宋体" w:hAnsi="宋体" w:cs="Arial"/>
                <w:color w:val="000000"/>
                <w:spacing w:val="10"/>
                <w:szCs w:val="21"/>
              </w:rPr>
              <w:t>包装方法</w:t>
            </w:r>
          </w:p>
        </w:tc>
        <w:tc>
          <w:tcPr>
            <w:tcW w:w="7148" w:type="dxa"/>
            <w:gridSpan w:val="10"/>
            <w:noWrap/>
            <w:vAlign w:val="center"/>
          </w:tcPr>
          <w:p>
            <w:pPr>
              <w:autoSpaceDE w:val="0"/>
              <w:autoSpaceDN w:val="0"/>
              <w:snapToGrid w:val="0"/>
              <w:jc w:val="left"/>
              <w:rPr>
                <w:rFonts w:ascii="宋体" w:hAnsi="宋体"/>
                <w:szCs w:val="21"/>
              </w:rPr>
            </w:pPr>
            <w:r>
              <w:rPr>
                <w:szCs w:val="21"/>
              </w:rPr>
              <w:t>小开口钢桶；安瓿瓶外普通木箱；螺纹口玻璃瓶、铁盖压口玻璃瓶、塑料瓶或金属桶（罐）外普通木箱。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储存注意事项</w:t>
            </w:r>
          </w:p>
        </w:tc>
        <w:tc>
          <w:tcPr>
            <w:tcW w:w="7148" w:type="dxa"/>
            <w:gridSpan w:val="10"/>
            <w:noWrap/>
            <w:vAlign w:val="center"/>
          </w:tcPr>
          <w:p>
            <w:pPr>
              <w:autoSpaceDE w:val="0"/>
              <w:autoSpaceDN w:val="0"/>
              <w:snapToGrid w:val="0"/>
              <w:jc w:val="left"/>
              <w:rPr>
                <w:szCs w:val="21"/>
              </w:rPr>
            </w:pPr>
            <w:r>
              <w:rPr>
                <w:szCs w:val="21"/>
              </w:rPr>
              <w:t>储存于阴凉、通风的库房。远离火种、热源。库温不宜超过30</w:t>
            </w:r>
            <w:r>
              <w:rPr>
                <w:rFonts w:ascii="宋体" w:hAnsi="宋体" w:cs="宋体"/>
                <w:szCs w:val="21"/>
              </w:rPr>
              <w:t>℃</w:t>
            </w:r>
            <w:r>
              <w:rPr>
                <w:rFonts w:ascii="宋体" w:hAnsi="宋体"/>
                <w:szCs w:val="21"/>
              </w:rPr>
              <w:t>。保持容器密封。应与氧化剂分开存放，切忌混储。采用防爆型照明、通风设施。禁止使用易产生火花的机械设备和工具。储区应备有泄漏应急处理设备和合适的收容材料。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运输注意事项</w:t>
            </w:r>
          </w:p>
        </w:tc>
        <w:tc>
          <w:tcPr>
            <w:tcW w:w="7148" w:type="dxa"/>
            <w:gridSpan w:val="10"/>
            <w:noWrap/>
            <w:vAlign w:val="center"/>
          </w:tcPr>
          <w:p>
            <w:pPr>
              <w:autoSpaceDE w:val="0"/>
              <w:autoSpaceDN w:val="0"/>
              <w:snapToGrid w:val="0"/>
              <w:jc w:val="left"/>
              <w:rPr>
                <w:szCs w:val="21"/>
              </w:rPr>
            </w:pPr>
            <w:r>
              <w:rPr>
                <w:szCs w:val="21"/>
              </w:rPr>
              <w:t xml:space="preserve">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操作注意事项</w:t>
            </w:r>
          </w:p>
        </w:tc>
        <w:tc>
          <w:tcPr>
            <w:tcW w:w="7148" w:type="dxa"/>
            <w:gridSpan w:val="10"/>
            <w:noWrap/>
            <w:vAlign w:val="center"/>
          </w:tcPr>
          <w:p>
            <w:pPr>
              <w:autoSpaceDE w:val="0"/>
              <w:autoSpaceDN w:val="0"/>
              <w:snapToGrid w:val="0"/>
              <w:jc w:val="left"/>
              <w:rPr>
                <w:szCs w:val="21"/>
              </w:rPr>
            </w:pPr>
            <w:r>
              <w:rPr>
                <w:szCs w:val="21"/>
              </w:rPr>
              <w:t>密闭操作，全面通风。操作人员必须经过专门培训，严格遵守操作规程。建议操作人员穿防静电工作服，戴橡胶耐油手套。远离火种、热源，工作场所严禁吸烟。使用防爆型的通风系统和设备。防止蒸气泄漏到工作场所空气中。避免与氧化剂接触。灌装时应控制流速，且有接地装置，防止静电积聚。搬运时要轻装轻卸，防止包装及容器损坏。配备相应品种和数量的消防器材及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restart"/>
            <w:noWrap/>
            <w:vAlign w:val="center"/>
          </w:tcPr>
          <w:p>
            <w:pPr>
              <w:widowControl/>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急救措施</w:t>
            </w: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皮肤接触</w:t>
            </w:r>
          </w:p>
        </w:tc>
        <w:tc>
          <w:tcPr>
            <w:tcW w:w="7148" w:type="dxa"/>
            <w:gridSpan w:val="10"/>
            <w:noWrap/>
            <w:vAlign w:val="center"/>
          </w:tcPr>
          <w:p>
            <w:pPr>
              <w:autoSpaceDE w:val="0"/>
              <w:autoSpaceDN w:val="0"/>
              <w:snapToGrid w:val="0"/>
              <w:jc w:val="left"/>
              <w:rPr>
                <w:szCs w:val="21"/>
              </w:rPr>
            </w:pPr>
            <w:r>
              <w:rPr>
                <w:szCs w:val="21"/>
              </w:rPr>
              <w:t>立即脱去污染的衣着，用肥皂水和清水彻底冲洗皮肤。就医。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眼睛接触</w:t>
            </w:r>
          </w:p>
        </w:tc>
        <w:tc>
          <w:tcPr>
            <w:tcW w:w="7148" w:type="dxa"/>
            <w:gridSpan w:val="10"/>
            <w:noWrap/>
            <w:vAlign w:val="center"/>
          </w:tcPr>
          <w:p>
            <w:pPr>
              <w:autoSpaceDE w:val="0"/>
              <w:autoSpaceDN w:val="0"/>
              <w:snapToGrid w:val="0"/>
              <w:jc w:val="left"/>
              <w:rPr>
                <w:szCs w:val="21"/>
              </w:rPr>
            </w:pPr>
            <w:r>
              <w:rPr>
                <w:szCs w:val="21"/>
              </w:rPr>
              <w:t>立即提起眼睑，用大量流动清水或生理盐水彻底冲洗至少15min</w:t>
            </w:r>
            <w:r>
              <w:rPr>
                <w:rFonts w:ascii="宋体" w:hAnsi="宋体"/>
                <w:szCs w:val="21"/>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szCs w:val="21"/>
              </w:rPr>
            </w:pPr>
            <w:r>
              <w:rPr>
                <w:rFonts w:hint="eastAsia" w:ascii="宋体" w:hAnsi="宋体"/>
                <w:szCs w:val="21"/>
              </w:rPr>
              <w:t>吸入</w:t>
            </w:r>
          </w:p>
        </w:tc>
        <w:tc>
          <w:tcPr>
            <w:tcW w:w="7148" w:type="dxa"/>
            <w:gridSpan w:val="10"/>
            <w:noWrap/>
            <w:vAlign w:val="center"/>
          </w:tcPr>
          <w:p>
            <w:pPr>
              <w:autoSpaceDE w:val="0"/>
              <w:autoSpaceDN w:val="0"/>
              <w:snapToGrid w:val="0"/>
              <w:jc w:val="left"/>
              <w:rPr>
                <w:szCs w:val="21"/>
              </w:rPr>
            </w:pPr>
            <w:r>
              <w:rPr>
                <w:szCs w:val="21"/>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szCs w:val="21"/>
              </w:rPr>
            </w:pPr>
            <w:r>
              <w:rPr>
                <w:rFonts w:hint="eastAsia" w:ascii="宋体" w:hAnsi="宋体"/>
                <w:szCs w:val="21"/>
              </w:rPr>
              <w:t>食入</w:t>
            </w:r>
          </w:p>
        </w:tc>
        <w:tc>
          <w:tcPr>
            <w:tcW w:w="7148" w:type="dxa"/>
            <w:gridSpan w:val="10"/>
            <w:noWrap/>
            <w:vAlign w:val="center"/>
          </w:tcPr>
          <w:p>
            <w:pPr>
              <w:autoSpaceDE w:val="0"/>
              <w:autoSpaceDN w:val="0"/>
              <w:snapToGrid w:val="0"/>
              <w:jc w:val="left"/>
              <w:rPr>
                <w:szCs w:val="21"/>
              </w:rPr>
            </w:pPr>
            <w:r>
              <w:rPr>
                <w:szCs w:val="21"/>
              </w:rPr>
              <w:t>给饮牛奶或用植物油洗胃和灌肠。就医。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restart"/>
            <w:noWrap/>
            <w:vAlign w:val="center"/>
          </w:tcPr>
          <w:p>
            <w:pPr>
              <w:widowControl/>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防护措施</w:t>
            </w: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工程控制</w:t>
            </w:r>
          </w:p>
        </w:tc>
        <w:tc>
          <w:tcPr>
            <w:tcW w:w="7148" w:type="dxa"/>
            <w:gridSpan w:val="10"/>
            <w:noWrap/>
            <w:vAlign w:val="center"/>
          </w:tcPr>
          <w:p>
            <w:pPr>
              <w:autoSpaceDE w:val="0"/>
              <w:autoSpaceDN w:val="0"/>
              <w:snapToGrid w:val="0"/>
              <w:jc w:val="left"/>
              <w:rPr>
                <w:szCs w:val="21"/>
              </w:rPr>
            </w:pPr>
            <w:r>
              <w:rPr>
                <w:szCs w:val="21"/>
              </w:rPr>
              <w:t>生产过程密闭，全面通风。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呼吸系统防护</w:t>
            </w:r>
          </w:p>
        </w:tc>
        <w:tc>
          <w:tcPr>
            <w:tcW w:w="7148" w:type="dxa"/>
            <w:gridSpan w:val="10"/>
            <w:noWrap/>
            <w:vAlign w:val="center"/>
          </w:tcPr>
          <w:p>
            <w:pPr>
              <w:autoSpaceDE w:val="0"/>
              <w:autoSpaceDN w:val="0"/>
              <w:snapToGrid w:val="0"/>
              <w:jc w:val="left"/>
              <w:rPr>
                <w:szCs w:val="21"/>
              </w:rPr>
            </w:pPr>
            <w:r>
              <w:rPr>
                <w:szCs w:val="21"/>
              </w:rPr>
              <w:t>一般不需要特殊防护，高浓度接触时可佩戴自吸过滤式防毒面具（半面罩）。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眼睛防护</w:t>
            </w:r>
          </w:p>
        </w:tc>
        <w:tc>
          <w:tcPr>
            <w:tcW w:w="7148" w:type="dxa"/>
            <w:gridSpan w:val="10"/>
            <w:noWrap/>
            <w:vAlign w:val="center"/>
          </w:tcPr>
          <w:p>
            <w:pPr>
              <w:autoSpaceDE w:val="0"/>
              <w:autoSpaceDN w:val="0"/>
              <w:snapToGrid w:val="0"/>
              <w:jc w:val="left"/>
              <w:rPr>
                <w:szCs w:val="21"/>
              </w:rPr>
            </w:pPr>
            <w:r>
              <w:rPr>
                <w:szCs w:val="21"/>
              </w:rPr>
              <w:t>一般不需要特殊防护，高浓度接触时可戴化学安全防护眼镜。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身体防护</w:t>
            </w:r>
          </w:p>
        </w:tc>
        <w:tc>
          <w:tcPr>
            <w:tcW w:w="7148" w:type="dxa"/>
            <w:gridSpan w:val="10"/>
            <w:noWrap/>
            <w:vAlign w:val="center"/>
          </w:tcPr>
          <w:p>
            <w:pPr>
              <w:autoSpaceDE w:val="0"/>
              <w:autoSpaceDN w:val="0"/>
              <w:snapToGrid w:val="0"/>
              <w:jc w:val="left"/>
              <w:rPr>
                <w:szCs w:val="21"/>
              </w:rPr>
            </w:pPr>
            <w:r>
              <w:rPr>
                <w:szCs w:val="21"/>
              </w:rPr>
              <w:t>穿防静电工作服。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手防护</w:t>
            </w:r>
          </w:p>
        </w:tc>
        <w:tc>
          <w:tcPr>
            <w:tcW w:w="7148" w:type="dxa"/>
            <w:gridSpan w:val="10"/>
            <w:noWrap/>
            <w:vAlign w:val="center"/>
          </w:tcPr>
          <w:p>
            <w:pPr>
              <w:autoSpaceDE w:val="0"/>
              <w:autoSpaceDN w:val="0"/>
              <w:snapToGrid w:val="0"/>
              <w:jc w:val="left"/>
              <w:rPr>
                <w:szCs w:val="21"/>
              </w:rPr>
            </w:pPr>
            <w:r>
              <w:rPr>
                <w:szCs w:val="21"/>
              </w:rPr>
              <w:t>戴橡胶耐油手套。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4" w:type="dxa"/>
            <w:vMerge w:val="continue"/>
            <w:noWrap/>
            <w:vAlign w:val="center"/>
          </w:tcPr>
          <w:p>
            <w:pPr>
              <w:widowControl/>
              <w:jc w:val="left"/>
              <w:rPr>
                <w:rFonts w:ascii="宋体" w:hAnsi="宋体" w:cs="Arial"/>
                <w:color w:val="000000"/>
                <w:spacing w:val="10"/>
                <w:szCs w:val="21"/>
              </w:rPr>
            </w:pPr>
          </w:p>
        </w:tc>
        <w:tc>
          <w:tcPr>
            <w:tcW w:w="1967" w:type="dxa"/>
            <w:noWrap/>
            <w:vAlign w:val="center"/>
          </w:tcPr>
          <w:p>
            <w:pPr>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其他防护</w:t>
            </w:r>
          </w:p>
        </w:tc>
        <w:tc>
          <w:tcPr>
            <w:tcW w:w="7148" w:type="dxa"/>
            <w:gridSpan w:val="10"/>
            <w:noWrap/>
            <w:vAlign w:val="center"/>
          </w:tcPr>
          <w:p>
            <w:pPr>
              <w:autoSpaceDE w:val="0"/>
              <w:autoSpaceDN w:val="0"/>
              <w:snapToGrid w:val="0"/>
              <w:jc w:val="left"/>
              <w:rPr>
                <w:szCs w:val="21"/>
              </w:rPr>
            </w:pPr>
            <w:r>
              <w:rPr>
                <w:szCs w:val="21"/>
              </w:rPr>
              <w:t>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684" w:type="dxa"/>
            <w:noWrap/>
            <w:vAlign w:val="center"/>
          </w:tcPr>
          <w:p>
            <w:pPr>
              <w:widowControl/>
              <w:autoSpaceDE w:val="0"/>
              <w:autoSpaceDN w:val="0"/>
              <w:snapToGrid w:val="0"/>
              <w:jc w:val="left"/>
              <w:rPr>
                <w:rFonts w:ascii="宋体" w:hAnsi="宋体" w:cs="Arial"/>
                <w:color w:val="000000"/>
                <w:spacing w:val="10"/>
                <w:szCs w:val="21"/>
              </w:rPr>
            </w:pPr>
            <w:r>
              <w:rPr>
                <w:rFonts w:hint="eastAsia" w:ascii="宋体" w:hAnsi="宋体" w:cs="Arial"/>
                <w:color w:val="000000"/>
                <w:spacing w:val="10"/>
                <w:szCs w:val="21"/>
              </w:rPr>
              <w:t>泄露应急处理</w:t>
            </w:r>
          </w:p>
        </w:tc>
        <w:tc>
          <w:tcPr>
            <w:tcW w:w="9115" w:type="dxa"/>
            <w:gridSpan w:val="11"/>
            <w:noWrap/>
            <w:vAlign w:val="center"/>
          </w:tcPr>
          <w:p>
            <w:pPr>
              <w:autoSpaceDE w:val="0"/>
              <w:autoSpaceDN w:val="0"/>
              <w:snapToGrid w:val="0"/>
              <w:jc w:val="left"/>
              <w:rPr>
                <w:szCs w:val="21"/>
              </w:rPr>
            </w:pPr>
            <w:r>
              <w:rPr>
                <w:szCs w:val="21"/>
              </w:rPr>
              <w:t>迅速撤离泄漏污染区人员至安全区，并进行隔离，严格限制出入。切断火源。建议应急处理人员戴自给正压式呼吸器，穿防静电工作服。尽可能切断泄漏源。防止流入下水道、排洪沟等限制性空间。小量泄漏：用砂土、蛭石或其它惰性材料吸收。或在保证安全情况下，就地焚烧。大量泄漏：构筑围堤或挖坑收容。用泡沫覆盖，降低蒸气灾害。用防爆泵转移至槽车或专用收集器内，回收或运至废物处理场所处置。</w:t>
            </w:r>
          </w:p>
        </w:tc>
      </w:tr>
    </w:tbl>
    <w:p>
      <w:pPr>
        <w:pStyle w:val="64"/>
      </w:pPr>
    </w:p>
    <w:p>
      <w:pPr>
        <w:pStyle w:val="4"/>
        <w:keepNext w:val="0"/>
        <w:keepLines w:val="0"/>
        <w:snapToGrid w:val="0"/>
        <w:spacing w:before="0" w:after="0" w:line="360" w:lineRule="auto"/>
        <w:jc w:val="left"/>
        <w:rPr>
          <w:rFonts w:ascii="宋体" w:hAnsi="宋体" w:cs="宋体"/>
          <w:snapToGrid/>
          <w:color w:val="auto"/>
          <w:kern w:val="2"/>
        </w:rPr>
      </w:pPr>
      <w:bookmarkStart w:id="341" w:name="_Toc19350"/>
      <w:r>
        <w:rPr>
          <w:rFonts w:hint="eastAsia" w:ascii="宋体" w:hAnsi="宋体" w:cs="宋体"/>
          <w:snapToGrid/>
          <w:color w:val="auto"/>
          <w:kern w:val="2"/>
        </w:rPr>
        <w:t>3.5</w:t>
      </w:r>
      <w:r>
        <w:rPr>
          <w:rFonts w:hint="eastAsia" w:ascii="宋体" w:hAnsi="宋体" w:cs="宋体"/>
          <w:snapToGrid/>
          <w:color w:val="auto"/>
          <w:kern w:val="2"/>
          <w:lang w:val="en-US" w:eastAsia="zh-CN"/>
        </w:rPr>
        <w:t xml:space="preserve"> </w:t>
      </w:r>
      <w:r>
        <w:rPr>
          <w:rFonts w:hint="eastAsia" w:ascii="宋体" w:hAnsi="宋体" w:cs="宋体"/>
          <w:snapToGrid/>
          <w:color w:val="auto"/>
          <w:kern w:val="2"/>
        </w:rPr>
        <w:t>生产过程中危险、有害因素辨识与分析</w:t>
      </w:r>
      <w:bookmarkEnd w:id="341"/>
    </w:p>
    <w:p>
      <w:pPr>
        <w:pStyle w:val="5"/>
        <w:keepNext w:val="0"/>
        <w:keepLines w:val="0"/>
        <w:snapToGrid w:val="0"/>
        <w:spacing w:before="0" w:after="0" w:line="360" w:lineRule="auto"/>
        <w:jc w:val="left"/>
        <w:rPr>
          <w:rFonts w:ascii="宋体" w:hAnsi="宋体" w:cs="宋体"/>
          <w:color w:val="000000" w:themeColor="text1"/>
          <w:sz w:val="28"/>
          <w:szCs w:val="28"/>
          <w14:textFill>
            <w14:solidFill>
              <w14:schemeClr w14:val="tx1"/>
            </w14:solidFill>
          </w14:textFill>
        </w:rPr>
      </w:pPr>
      <w:bookmarkStart w:id="342" w:name="_Toc5477416"/>
      <w:bookmarkStart w:id="343" w:name="_Toc5477046"/>
      <w:bookmarkStart w:id="344" w:name="_Toc32526"/>
      <w:bookmarkStart w:id="345" w:name="_Toc42679887"/>
      <w:bookmarkStart w:id="346" w:name="_Toc58579102"/>
      <w:bookmarkStart w:id="347" w:name="_Toc515093506"/>
      <w:r>
        <w:rPr>
          <w:rFonts w:hint="eastAsia" w:ascii="宋体" w:hAnsi="宋体" w:cs="宋体"/>
          <w:color w:val="000000" w:themeColor="text1"/>
          <w:sz w:val="28"/>
          <w:szCs w:val="28"/>
          <w14:textFill>
            <w14:solidFill>
              <w14:schemeClr w14:val="tx1"/>
            </w14:solidFill>
          </w14:textFill>
        </w:rPr>
        <w:t>3.5.1</w:t>
      </w:r>
      <w:bookmarkEnd w:id="342"/>
      <w:bookmarkEnd w:id="343"/>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机加工生产钱危险性分析</w:t>
      </w:r>
      <w:bookmarkEnd w:id="344"/>
      <w:bookmarkEnd w:id="345"/>
      <w:bookmarkEnd w:id="346"/>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本项目的机加工生产线主要是汽油机缸体、缸盖的加工、清洗、试漏、压装、检测等生产任务。</w:t>
      </w:r>
    </w:p>
    <w:p>
      <w:pPr>
        <w:snapToGrid w:val="0"/>
        <w:spacing w:line="360" w:lineRule="auto"/>
        <w:ind w:firstLine="560" w:firstLineChars="200"/>
        <w:rPr>
          <w:sz w:val="28"/>
          <w:szCs w:val="28"/>
        </w:rPr>
      </w:pPr>
      <w:r>
        <w:rPr>
          <w:rFonts w:hint="eastAsia"/>
          <w:sz w:val="28"/>
          <w:szCs w:val="28"/>
        </w:rPr>
        <w:t>主要用到的设备设施为：激光打标机、加工中心、加工中心用液压夹具及辊道、清洗机、试漏机、曲轴孔精镗专机、珩磨机、压装机、物流系统、机器人等。</w:t>
      </w:r>
    </w:p>
    <w:p>
      <w:pPr>
        <w:snapToGrid w:val="0"/>
        <w:spacing w:line="360" w:lineRule="auto"/>
        <w:ind w:firstLine="560" w:firstLineChars="200"/>
        <w:rPr>
          <w:sz w:val="28"/>
          <w:szCs w:val="28"/>
        </w:rPr>
      </w:pPr>
      <w:r>
        <w:rPr>
          <w:rFonts w:hint="eastAsia"/>
          <w:sz w:val="28"/>
          <w:szCs w:val="28"/>
        </w:rPr>
        <w:t>主要涉及到的危险有害因素有：机械伤害、中毒窒息、火灾、触电、物体打击、起重伤害、高处坠落、粉尘、灼烫、噪声、车辆伤害等。</w:t>
      </w:r>
    </w:p>
    <w:p>
      <w:pPr>
        <w:pStyle w:val="6"/>
        <w:spacing w:line="360" w:lineRule="auto"/>
        <w:ind w:firstLine="562" w:firstLineChars="200"/>
        <w:jc w:val="left"/>
        <w:rPr>
          <w:rFonts w:ascii="宋体" w:hAnsi="宋体" w:cs="宋体"/>
          <w:sz w:val="28"/>
          <w:szCs w:val="44"/>
        </w:rPr>
      </w:pPr>
      <w:r>
        <w:rPr>
          <w:rFonts w:hint="eastAsia" w:ascii="宋体" w:hAnsi="宋体" w:cs="宋体"/>
          <w:sz w:val="28"/>
          <w:szCs w:val="44"/>
        </w:rPr>
        <w:t>3.5.1.1</w:t>
      </w:r>
      <w:r>
        <w:rPr>
          <w:rFonts w:hint="eastAsia" w:ascii="宋体" w:hAnsi="宋体" w:cs="宋体"/>
          <w:sz w:val="28"/>
          <w:szCs w:val="44"/>
          <w:lang w:val="en-US" w:eastAsia="zh-CN"/>
        </w:rPr>
        <w:t xml:space="preserve"> </w:t>
      </w:r>
      <w:r>
        <w:rPr>
          <w:rFonts w:hint="eastAsia" w:ascii="宋体" w:hAnsi="宋体" w:cs="宋体"/>
          <w:sz w:val="28"/>
          <w:szCs w:val="44"/>
        </w:rPr>
        <w:t>机械伤害</w:t>
      </w:r>
    </w:p>
    <w:p>
      <w:pPr>
        <w:snapToGrid w:val="0"/>
        <w:spacing w:line="360" w:lineRule="auto"/>
        <w:ind w:firstLine="560" w:firstLineChars="200"/>
        <w:rPr>
          <w:sz w:val="28"/>
          <w:szCs w:val="28"/>
        </w:rPr>
      </w:pPr>
      <w:r>
        <w:rPr>
          <w:rFonts w:hint="eastAsia"/>
          <w:sz w:val="28"/>
          <w:szCs w:val="28"/>
        </w:rPr>
        <w:t>本生产线中缸体、缸盖的加工中需进行铣、钻、绞、镗、珩磨等，同时在这些加工过程中使用到大量的不同类型的刀具。生产线中使用到的机械大部分属于金属切削机械，生产操作过程中，机械设备的运动部位未进行防护，如转动部位未加防护罩、牵引辊未加防护条、辊式输送机未安装防护罩、旋转的道具未包含在机器内部等，则可能会造成机械伤害。</w:t>
      </w:r>
    </w:p>
    <w:p>
      <w:pPr>
        <w:pStyle w:val="6"/>
        <w:spacing w:line="360" w:lineRule="auto"/>
        <w:ind w:firstLine="562" w:firstLineChars="200"/>
        <w:jc w:val="left"/>
        <w:rPr>
          <w:rFonts w:ascii="宋体" w:hAnsi="宋体" w:cs="宋体"/>
          <w:sz w:val="28"/>
          <w:szCs w:val="44"/>
        </w:rPr>
      </w:pPr>
      <w:r>
        <w:rPr>
          <w:rFonts w:hint="eastAsia" w:ascii="宋体" w:hAnsi="宋体" w:cs="宋体"/>
          <w:sz w:val="28"/>
          <w:szCs w:val="44"/>
        </w:rPr>
        <w:t>3.5.1.2</w:t>
      </w:r>
      <w:r>
        <w:rPr>
          <w:rFonts w:hint="eastAsia" w:ascii="宋体" w:hAnsi="宋体" w:cs="宋体"/>
          <w:sz w:val="28"/>
          <w:szCs w:val="44"/>
          <w:lang w:val="en-US" w:eastAsia="zh-CN"/>
        </w:rPr>
        <w:t xml:space="preserve"> </w:t>
      </w:r>
      <w:r>
        <w:rPr>
          <w:rFonts w:hint="eastAsia" w:ascii="宋体" w:hAnsi="宋体" w:cs="宋体"/>
          <w:sz w:val="28"/>
          <w:szCs w:val="44"/>
        </w:rPr>
        <w:t>中毒窒息</w:t>
      </w:r>
    </w:p>
    <w:p>
      <w:pPr>
        <w:snapToGrid w:val="0"/>
        <w:spacing w:line="360" w:lineRule="auto"/>
        <w:ind w:firstLine="560" w:firstLineChars="200"/>
        <w:rPr>
          <w:sz w:val="28"/>
          <w:szCs w:val="28"/>
        </w:rPr>
      </w:pPr>
      <w:r>
        <w:rPr>
          <w:rFonts w:hint="eastAsia"/>
          <w:sz w:val="28"/>
          <w:szCs w:val="28"/>
        </w:rPr>
        <w:t>1</w:t>
      </w:r>
      <w:r>
        <w:rPr>
          <w:rFonts w:hint="eastAsia"/>
          <w:color w:val="auto"/>
          <w:sz w:val="28"/>
          <w:szCs w:val="28"/>
          <w:highlight w:val="none"/>
        </w:rPr>
        <w:t>.建设项目对</w:t>
      </w:r>
      <w:r>
        <w:rPr>
          <w:rFonts w:hint="eastAsia" w:ascii="宋体" w:hAnsi="宋体" w:cs="宋体"/>
          <w:color w:val="auto"/>
          <w:sz w:val="28"/>
          <w:szCs w:val="28"/>
          <w:highlight w:val="none"/>
        </w:rPr>
        <w:t>切削液集中处理系统、喷漆室净化设备</w:t>
      </w:r>
      <w:r>
        <w:rPr>
          <w:rFonts w:hint="eastAsia"/>
          <w:color w:val="auto"/>
          <w:sz w:val="28"/>
          <w:szCs w:val="28"/>
          <w:highlight w:val="none"/>
        </w:rPr>
        <w:t>等有限空间作业过程中进行检维修等，</w:t>
      </w:r>
      <w:r>
        <w:rPr>
          <w:rFonts w:hint="eastAsia"/>
          <w:sz w:val="28"/>
          <w:szCs w:val="28"/>
        </w:rPr>
        <w:t>若未进行气体置换和气体分析，会因有限作业空间内氧含量不足发生窒息，另外，当项目发生火灾时，产生有毒气体（一氧化碳等）时会导致中毒事故发生。</w:t>
      </w:r>
    </w:p>
    <w:p>
      <w:pPr>
        <w:pStyle w:val="6"/>
        <w:spacing w:line="360" w:lineRule="auto"/>
        <w:ind w:firstLine="562" w:firstLineChars="200"/>
        <w:jc w:val="left"/>
        <w:rPr>
          <w:rFonts w:ascii="宋体" w:hAnsi="宋体" w:cs="宋体"/>
          <w:sz w:val="28"/>
          <w:szCs w:val="44"/>
        </w:rPr>
      </w:pPr>
      <w:r>
        <w:rPr>
          <w:rFonts w:hint="eastAsia" w:ascii="宋体" w:hAnsi="宋体" w:cs="宋体"/>
          <w:sz w:val="28"/>
          <w:szCs w:val="44"/>
        </w:rPr>
        <w:t>3.5.1.3</w:t>
      </w:r>
      <w:r>
        <w:rPr>
          <w:rFonts w:hint="eastAsia" w:ascii="宋体" w:hAnsi="宋体" w:cs="宋体"/>
          <w:sz w:val="28"/>
          <w:szCs w:val="44"/>
          <w:lang w:val="en-US" w:eastAsia="zh-CN"/>
        </w:rPr>
        <w:t xml:space="preserve"> </w:t>
      </w:r>
      <w:r>
        <w:rPr>
          <w:rFonts w:hint="eastAsia" w:ascii="宋体" w:hAnsi="宋体" w:cs="宋体"/>
          <w:sz w:val="28"/>
          <w:szCs w:val="44"/>
        </w:rPr>
        <w:t>火灾</w:t>
      </w:r>
    </w:p>
    <w:p>
      <w:pPr>
        <w:snapToGrid w:val="0"/>
        <w:spacing w:line="360" w:lineRule="auto"/>
        <w:ind w:firstLine="560" w:firstLineChars="200"/>
        <w:rPr>
          <w:sz w:val="28"/>
          <w:szCs w:val="28"/>
        </w:rPr>
      </w:pPr>
      <w:r>
        <w:rPr>
          <w:rFonts w:hint="eastAsia"/>
          <w:sz w:val="28"/>
          <w:szCs w:val="28"/>
        </w:rPr>
        <w:t>1.本生产线中设备供配电的输电线路短路、超负荷运行可能引起电火灾。</w:t>
      </w:r>
    </w:p>
    <w:p>
      <w:pPr>
        <w:snapToGrid w:val="0"/>
        <w:spacing w:line="360" w:lineRule="auto"/>
        <w:ind w:firstLine="560" w:firstLineChars="200"/>
      </w:pPr>
      <w:r>
        <w:rPr>
          <w:rFonts w:hint="eastAsia"/>
          <w:sz w:val="28"/>
          <w:szCs w:val="28"/>
        </w:rPr>
        <w:t>2.项目中变压器短路、老化，维修不当也会引发火灾。</w:t>
      </w:r>
    </w:p>
    <w:p>
      <w:pPr>
        <w:snapToGrid w:val="0"/>
        <w:spacing w:line="360" w:lineRule="auto"/>
        <w:ind w:firstLine="560" w:firstLineChars="200"/>
        <w:rPr>
          <w:sz w:val="28"/>
          <w:szCs w:val="28"/>
          <w:lang w:val="zh-CN"/>
        </w:rPr>
      </w:pPr>
      <w:r>
        <w:rPr>
          <w:rFonts w:hint="eastAsia"/>
          <w:sz w:val="28"/>
          <w:szCs w:val="28"/>
        </w:rPr>
        <w:t>3.</w:t>
      </w:r>
      <w:r>
        <w:rPr>
          <w:rFonts w:hint="eastAsia"/>
          <w:sz w:val="28"/>
          <w:szCs w:val="28"/>
          <w:lang w:val="zh-CN"/>
        </w:rPr>
        <w:t>变压器超载运行导致绝缘材料过热起火。</w:t>
      </w:r>
    </w:p>
    <w:p>
      <w:pPr>
        <w:snapToGrid w:val="0"/>
        <w:spacing w:line="360" w:lineRule="auto"/>
        <w:ind w:firstLine="560" w:firstLineChars="200"/>
        <w:rPr>
          <w:sz w:val="28"/>
          <w:szCs w:val="28"/>
        </w:rPr>
      </w:pPr>
      <w:r>
        <w:rPr>
          <w:rFonts w:hint="eastAsia"/>
          <w:sz w:val="28"/>
          <w:szCs w:val="28"/>
        </w:rPr>
        <w:t>4.变</w:t>
      </w:r>
      <w:r>
        <w:rPr>
          <w:rFonts w:hint="eastAsia"/>
          <w:sz w:val="28"/>
          <w:szCs w:val="28"/>
          <w:lang w:val="zh-CN"/>
        </w:rPr>
        <w:t>压器配备的如风叶、散热器等散热装置，如果发生风叶断裂、变压器油面下降均导致散热不良，使电器热量累积。</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3.5.1.4</w:t>
      </w:r>
      <w:r>
        <w:rPr>
          <w:rFonts w:hint="eastAsia" w:ascii="宋体" w:hAnsi="宋体" w:cs="宋体"/>
          <w:sz w:val="28"/>
          <w:szCs w:val="44"/>
          <w:lang w:val="en-US" w:eastAsia="zh-CN"/>
        </w:rPr>
        <w:t xml:space="preserve"> </w:t>
      </w:r>
      <w:r>
        <w:rPr>
          <w:rFonts w:hint="eastAsia" w:ascii="宋体" w:hAnsi="宋体" w:cs="宋体"/>
          <w:sz w:val="28"/>
          <w:szCs w:val="44"/>
        </w:rPr>
        <w:t>触电</w:t>
      </w:r>
    </w:p>
    <w:p>
      <w:pPr>
        <w:numPr>
          <w:ilvl w:val="0"/>
          <w:numId w:val="10"/>
        </w:numPr>
        <w:snapToGrid w:val="0"/>
        <w:spacing w:line="360" w:lineRule="auto"/>
        <w:ind w:firstLine="560" w:firstLineChars="200"/>
        <w:rPr>
          <w:sz w:val="28"/>
          <w:szCs w:val="28"/>
        </w:rPr>
      </w:pPr>
      <w:r>
        <w:rPr>
          <w:rFonts w:hint="eastAsia"/>
          <w:sz w:val="28"/>
          <w:szCs w:val="28"/>
        </w:rPr>
        <w:t>本生产线中涉及使用大量电气设备、输电线路，若电气设备设计、安装、施工、验收等存在质量缺陷、未定期进行检查维护，人员违章作业、无证操作等可能造成接触这些设施、装置的人员及在用电环境中的其他人员发生触电事故。</w:t>
      </w:r>
    </w:p>
    <w:p>
      <w:pPr>
        <w:pStyle w:val="6"/>
        <w:spacing w:line="360" w:lineRule="auto"/>
        <w:ind w:firstLine="562" w:firstLineChars="200"/>
        <w:jc w:val="left"/>
        <w:rPr>
          <w:rFonts w:ascii="宋体" w:hAnsi="宋体" w:cs="宋体"/>
          <w:sz w:val="28"/>
          <w:szCs w:val="44"/>
        </w:rPr>
      </w:pPr>
      <w:r>
        <w:rPr>
          <w:rFonts w:hint="eastAsia" w:ascii="宋体" w:hAnsi="宋体" w:cs="宋体"/>
          <w:sz w:val="28"/>
          <w:szCs w:val="44"/>
        </w:rPr>
        <w:t>3.5.1.5</w:t>
      </w:r>
      <w:r>
        <w:rPr>
          <w:rFonts w:hint="eastAsia" w:ascii="宋体" w:hAnsi="宋体" w:cs="宋体"/>
          <w:sz w:val="28"/>
          <w:szCs w:val="44"/>
          <w:lang w:val="en-US" w:eastAsia="zh-CN"/>
        </w:rPr>
        <w:t xml:space="preserve"> </w:t>
      </w:r>
      <w:r>
        <w:rPr>
          <w:rFonts w:hint="eastAsia" w:ascii="宋体" w:hAnsi="宋体" w:cs="宋体"/>
          <w:sz w:val="28"/>
          <w:szCs w:val="44"/>
        </w:rPr>
        <w:t>物体打击</w:t>
      </w:r>
    </w:p>
    <w:p>
      <w:pPr>
        <w:snapToGrid w:val="0"/>
        <w:spacing w:line="360" w:lineRule="auto"/>
        <w:ind w:firstLine="560" w:firstLineChars="200"/>
        <w:rPr>
          <w:sz w:val="28"/>
          <w:szCs w:val="28"/>
        </w:rPr>
      </w:pPr>
      <w:r>
        <w:rPr>
          <w:rFonts w:hint="eastAsia"/>
          <w:sz w:val="28"/>
          <w:szCs w:val="28"/>
        </w:rPr>
        <w:t>机加工过程中，机床零件或被加工材料、工件，运动的机床零件或工件掉下或甩出，会对人员造成伤害，同时切削时切屑飞溅会造成划伤。</w:t>
      </w:r>
    </w:p>
    <w:p>
      <w:pPr>
        <w:pStyle w:val="6"/>
        <w:spacing w:line="360" w:lineRule="auto"/>
        <w:ind w:firstLine="562" w:firstLineChars="200"/>
        <w:jc w:val="left"/>
        <w:rPr>
          <w:rFonts w:ascii="宋体" w:hAnsi="宋体" w:cs="宋体"/>
          <w:sz w:val="28"/>
          <w:szCs w:val="44"/>
        </w:rPr>
      </w:pPr>
      <w:r>
        <w:rPr>
          <w:rFonts w:hint="eastAsia" w:ascii="宋体" w:hAnsi="宋体" w:cs="宋体"/>
          <w:sz w:val="28"/>
          <w:szCs w:val="44"/>
        </w:rPr>
        <w:t>3.5.1.6</w:t>
      </w:r>
      <w:r>
        <w:rPr>
          <w:rFonts w:hint="eastAsia" w:ascii="宋体" w:hAnsi="宋体" w:cs="宋体"/>
          <w:sz w:val="28"/>
          <w:szCs w:val="44"/>
          <w:lang w:val="en-US" w:eastAsia="zh-CN"/>
        </w:rPr>
        <w:t xml:space="preserve"> </w:t>
      </w:r>
      <w:r>
        <w:rPr>
          <w:rFonts w:hint="eastAsia" w:ascii="宋体" w:hAnsi="宋体" w:cs="宋体"/>
          <w:sz w:val="28"/>
          <w:szCs w:val="44"/>
        </w:rPr>
        <w:t>起重伤害</w:t>
      </w:r>
    </w:p>
    <w:p>
      <w:pPr>
        <w:snapToGrid w:val="0"/>
        <w:spacing w:line="360" w:lineRule="auto"/>
        <w:ind w:firstLine="560" w:firstLineChars="200"/>
        <w:rPr>
          <w:sz w:val="28"/>
          <w:szCs w:val="28"/>
        </w:rPr>
      </w:pPr>
      <w:r>
        <w:rPr>
          <w:rFonts w:hint="eastAsia"/>
          <w:sz w:val="28"/>
          <w:szCs w:val="28"/>
        </w:rPr>
        <w:t>项目在生产过程中，大件物品需要使用起重机吊运（装），若起重机存在缺陷、安全附件缺失、违章指挥、违章操作，吊运（装）路线穿过作业区或吊运区有人员穿行等原因，均会引发起重伤害事故。</w:t>
      </w:r>
    </w:p>
    <w:p>
      <w:pPr>
        <w:snapToGrid w:val="0"/>
        <w:spacing w:line="360" w:lineRule="auto"/>
        <w:ind w:firstLine="560" w:firstLineChars="200"/>
        <w:rPr>
          <w:sz w:val="28"/>
          <w:szCs w:val="28"/>
        </w:rPr>
      </w:pPr>
      <w:r>
        <w:rPr>
          <w:rFonts w:hint="eastAsia"/>
          <w:sz w:val="28"/>
          <w:szCs w:val="28"/>
        </w:rPr>
        <w:t>在生产装置区设置有多台5t的行车，在吊运原辅材料过程中，存在发生起重伤害的可能性。</w:t>
      </w:r>
    </w:p>
    <w:p>
      <w:pPr>
        <w:pStyle w:val="6"/>
        <w:spacing w:line="360" w:lineRule="auto"/>
        <w:ind w:firstLine="562" w:firstLineChars="200"/>
        <w:jc w:val="left"/>
        <w:rPr>
          <w:rFonts w:ascii="宋体" w:hAnsi="宋体" w:cs="宋体"/>
          <w:sz w:val="28"/>
          <w:szCs w:val="44"/>
        </w:rPr>
      </w:pPr>
      <w:r>
        <w:rPr>
          <w:rFonts w:hint="eastAsia" w:ascii="宋体" w:hAnsi="宋体" w:cs="宋体"/>
          <w:sz w:val="28"/>
          <w:szCs w:val="44"/>
        </w:rPr>
        <w:t>3.5.1.7</w:t>
      </w:r>
      <w:r>
        <w:rPr>
          <w:rFonts w:hint="eastAsia" w:ascii="宋体" w:hAnsi="宋体" w:cs="宋体"/>
          <w:sz w:val="28"/>
          <w:szCs w:val="44"/>
          <w:lang w:val="en-US" w:eastAsia="zh-CN"/>
        </w:rPr>
        <w:t xml:space="preserve"> </w:t>
      </w:r>
      <w:r>
        <w:rPr>
          <w:rFonts w:hint="eastAsia" w:ascii="宋体" w:hAnsi="宋体" w:cs="宋体"/>
          <w:sz w:val="28"/>
          <w:szCs w:val="44"/>
        </w:rPr>
        <w:t>高处坠落</w:t>
      </w:r>
    </w:p>
    <w:p>
      <w:pPr>
        <w:snapToGrid w:val="0"/>
        <w:spacing w:line="360" w:lineRule="auto"/>
        <w:ind w:firstLine="560" w:firstLineChars="200"/>
        <w:rPr>
          <w:sz w:val="28"/>
          <w:szCs w:val="28"/>
        </w:rPr>
      </w:pPr>
      <w:r>
        <w:rPr>
          <w:rFonts w:hint="eastAsia"/>
          <w:sz w:val="28"/>
          <w:szCs w:val="28"/>
        </w:rPr>
        <w:t>该项目检修过程中存在作业现场均在2米以上的操作，作业人员在生产检修过程中可能发生坠落的危险。</w:t>
      </w:r>
    </w:p>
    <w:p>
      <w:pPr>
        <w:pStyle w:val="6"/>
        <w:spacing w:line="360" w:lineRule="auto"/>
        <w:ind w:firstLine="562" w:firstLineChars="200"/>
        <w:jc w:val="left"/>
        <w:rPr>
          <w:rFonts w:ascii="宋体" w:hAnsi="宋体" w:cs="宋体"/>
          <w:sz w:val="28"/>
          <w:szCs w:val="44"/>
        </w:rPr>
      </w:pPr>
      <w:r>
        <w:rPr>
          <w:rFonts w:hint="eastAsia" w:ascii="宋体" w:hAnsi="宋体" w:cs="宋体"/>
          <w:sz w:val="28"/>
          <w:szCs w:val="44"/>
        </w:rPr>
        <w:t>3.5.1.8</w:t>
      </w:r>
      <w:r>
        <w:rPr>
          <w:rFonts w:hint="eastAsia" w:ascii="宋体" w:hAnsi="宋体" w:cs="宋体"/>
          <w:sz w:val="28"/>
          <w:szCs w:val="44"/>
          <w:lang w:val="en-US" w:eastAsia="zh-CN"/>
        </w:rPr>
        <w:t xml:space="preserve"> </w:t>
      </w:r>
      <w:r>
        <w:rPr>
          <w:rFonts w:hint="eastAsia" w:ascii="宋体" w:hAnsi="宋体" w:cs="宋体"/>
          <w:sz w:val="28"/>
          <w:szCs w:val="44"/>
        </w:rPr>
        <w:t>粉尘</w:t>
      </w:r>
    </w:p>
    <w:p>
      <w:pPr>
        <w:snapToGrid w:val="0"/>
        <w:spacing w:line="360" w:lineRule="auto"/>
        <w:ind w:firstLine="560" w:firstLineChars="200"/>
        <w:rPr>
          <w:sz w:val="28"/>
          <w:szCs w:val="28"/>
        </w:rPr>
      </w:pPr>
      <w:r>
        <w:rPr>
          <w:rFonts w:hint="eastAsia"/>
          <w:sz w:val="28"/>
          <w:szCs w:val="28"/>
        </w:rPr>
        <w:t>机加工过程的切削、打孔、磨削等过程中会产生金属粉尘和切削液。</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3.5.1.9</w:t>
      </w:r>
      <w:r>
        <w:rPr>
          <w:rFonts w:hint="eastAsia" w:ascii="宋体" w:hAnsi="宋体" w:cs="宋体"/>
          <w:sz w:val="28"/>
          <w:szCs w:val="44"/>
          <w:lang w:val="en-US" w:eastAsia="zh-CN"/>
        </w:rPr>
        <w:t xml:space="preserve"> </w:t>
      </w:r>
      <w:r>
        <w:rPr>
          <w:rFonts w:hint="eastAsia" w:ascii="宋体" w:hAnsi="宋体" w:cs="宋体"/>
          <w:sz w:val="28"/>
          <w:szCs w:val="44"/>
        </w:rPr>
        <w:t>灼烫</w:t>
      </w:r>
    </w:p>
    <w:p>
      <w:pPr>
        <w:snapToGrid w:val="0"/>
        <w:spacing w:line="360" w:lineRule="auto"/>
        <w:ind w:firstLine="560" w:firstLineChars="200"/>
        <w:rPr>
          <w:sz w:val="28"/>
          <w:szCs w:val="28"/>
        </w:rPr>
      </w:pPr>
      <w:r>
        <w:rPr>
          <w:rFonts w:hint="eastAsia"/>
          <w:sz w:val="28"/>
          <w:szCs w:val="28"/>
        </w:rPr>
        <w:t>机加工过程中切削过程中切削下的炙热金属会造成灼烫。</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3.5.1.10</w:t>
      </w:r>
      <w:r>
        <w:rPr>
          <w:rFonts w:hint="eastAsia" w:ascii="宋体" w:hAnsi="宋体" w:cs="宋体"/>
          <w:sz w:val="28"/>
          <w:szCs w:val="44"/>
          <w:lang w:val="en-US" w:eastAsia="zh-CN"/>
        </w:rPr>
        <w:t xml:space="preserve"> </w:t>
      </w:r>
      <w:r>
        <w:rPr>
          <w:rFonts w:hint="eastAsia" w:ascii="宋体" w:hAnsi="宋体" w:cs="宋体"/>
          <w:sz w:val="28"/>
          <w:szCs w:val="44"/>
        </w:rPr>
        <w:t>噪声</w:t>
      </w:r>
    </w:p>
    <w:p>
      <w:pPr>
        <w:snapToGrid w:val="0"/>
        <w:spacing w:line="360" w:lineRule="auto"/>
        <w:ind w:firstLine="560" w:firstLineChars="200"/>
        <w:rPr>
          <w:sz w:val="28"/>
          <w:szCs w:val="28"/>
        </w:rPr>
      </w:pPr>
      <w:r>
        <w:rPr>
          <w:rFonts w:hint="eastAsia"/>
          <w:sz w:val="28"/>
          <w:szCs w:val="28"/>
        </w:rPr>
        <w:t>在本生产过程中噪声主要是设备振动、机械设备转动作业等发出的声响，如空压机、铣床、镗床等设备。这些设备产生的噪声对人体均可产生不良影响，如损伤耳膜、听力下降，严重时引起耳聋，引发职业病。</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3.5.1.11</w:t>
      </w:r>
      <w:r>
        <w:rPr>
          <w:rFonts w:hint="eastAsia" w:ascii="宋体" w:hAnsi="宋体" w:cs="宋体"/>
          <w:sz w:val="28"/>
          <w:szCs w:val="44"/>
          <w:lang w:val="en-US" w:eastAsia="zh-CN"/>
        </w:rPr>
        <w:t xml:space="preserve"> </w:t>
      </w:r>
      <w:r>
        <w:rPr>
          <w:rFonts w:hint="eastAsia" w:ascii="宋体" w:hAnsi="宋体" w:cs="宋体"/>
          <w:sz w:val="28"/>
          <w:szCs w:val="44"/>
        </w:rPr>
        <w:t>车辆伤害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sz w:val="28"/>
          <w:szCs w:val="28"/>
        </w:rPr>
        <w:t>该项目叉车及汽车运输物料区域或车辆出入区域及装卸料作业区域因为</w:t>
      </w:r>
      <w:r>
        <w:rPr>
          <w:rFonts w:hint="eastAsia"/>
          <w:color w:val="000000" w:themeColor="text1"/>
          <w:sz w:val="28"/>
          <w:szCs w:val="28"/>
          <w14:textFill>
            <w14:solidFill>
              <w14:schemeClr w14:val="tx1"/>
            </w14:solidFill>
          </w14:textFill>
        </w:rPr>
        <w:t>驾驶员操作失误，违规操作、车辆故障等原因发生车辆伤害。</w:t>
      </w:r>
    </w:p>
    <w:p>
      <w:pPr>
        <w:pStyle w:val="6"/>
        <w:keepNext w:val="0"/>
        <w:spacing w:line="360" w:lineRule="auto"/>
        <w:ind w:firstLine="562" w:firstLineChars="200"/>
        <w:jc w:val="left"/>
        <w:rPr>
          <w:rFonts w:ascii="宋体" w:hAnsi="宋体" w:cs="宋体"/>
          <w:color w:val="000000" w:themeColor="text1"/>
          <w:sz w:val="28"/>
          <w:szCs w:val="44"/>
          <w14:textFill>
            <w14:solidFill>
              <w14:schemeClr w14:val="tx1"/>
            </w14:solidFill>
          </w14:textFill>
        </w:rPr>
      </w:pPr>
      <w:r>
        <w:rPr>
          <w:rFonts w:hint="eastAsia" w:ascii="宋体" w:hAnsi="宋体" w:cs="宋体"/>
          <w:color w:val="000000" w:themeColor="text1"/>
          <w:sz w:val="28"/>
          <w:szCs w:val="44"/>
          <w14:textFill>
            <w14:solidFill>
              <w14:schemeClr w14:val="tx1"/>
            </w14:solidFill>
          </w14:textFill>
        </w:rPr>
        <w:t>3.5.1.12</w:t>
      </w:r>
      <w:r>
        <w:rPr>
          <w:rFonts w:hint="eastAsia" w:ascii="宋体" w:hAnsi="宋体" w:cs="宋体"/>
          <w:color w:val="000000" w:themeColor="text1"/>
          <w:sz w:val="28"/>
          <w:szCs w:val="44"/>
          <w:lang w:val="en-US" w:eastAsia="zh-CN"/>
          <w14:textFill>
            <w14:solidFill>
              <w14:schemeClr w14:val="tx1"/>
            </w14:solidFill>
          </w14:textFill>
        </w:rPr>
        <w:t xml:space="preserve"> </w:t>
      </w:r>
      <w:r>
        <w:rPr>
          <w:rFonts w:hint="eastAsia" w:ascii="宋体" w:hAnsi="宋体" w:cs="宋体"/>
          <w:color w:val="000000" w:themeColor="text1"/>
          <w:sz w:val="28"/>
          <w:szCs w:val="44"/>
          <w14:textFill>
            <w14:solidFill>
              <w14:schemeClr w14:val="tx1"/>
            </w14:solidFill>
          </w14:textFill>
        </w:rPr>
        <w:t>机器人危险性分析</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1、运输机器人在行驶过程中，作业人员擅自进入机器人行驶路线可能造成人员撞伤；</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2、生产机器人的旋转运行部件会造成剪切、机器人的不稳定会造成碰撞，机器人在大臂回转、俯仰、小臂弯曲手腕旋转等引起的挤压、撞击等，可能会发生人员与机器人的相互剪切、碰撞、摩擦等机械伤害。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3、生产机器人在运行过程中因动力故障、意外启停或传感器、控制器失灵等情况，会使机器人失控，可能会造成砸伤、夹伤、碰伤或财产损失等危害。</w:t>
      </w:r>
    </w:p>
    <w:p>
      <w:pPr>
        <w:pStyle w:val="6"/>
        <w:keepNext w:val="0"/>
        <w:spacing w:line="360" w:lineRule="auto"/>
        <w:ind w:firstLine="562" w:firstLineChars="200"/>
        <w:jc w:val="left"/>
        <w:rPr>
          <w:rFonts w:ascii="宋体" w:hAnsi="宋体" w:cs="宋体"/>
          <w:color w:val="000000" w:themeColor="text1"/>
          <w:sz w:val="28"/>
          <w:szCs w:val="44"/>
          <w14:textFill>
            <w14:solidFill>
              <w14:schemeClr w14:val="tx1"/>
            </w14:solidFill>
          </w14:textFill>
        </w:rPr>
      </w:pPr>
      <w:r>
        <w:rPr>
          <w:rFonts w:hint="eastAsia" w:ascii="宋体" w:hAnsi="宋体" w:cs="宋体"/>
          <w:color w:val="000000" w:themeColor="text1"/>
          <w:sz w:val="28"/>
          <w:szCs w:val="44"/>
          <w14:textFill>
            <w14:solidFill>
              <w14:schemeClr w14:val="tx1"/>
            </w14:solidFill>
          </w14:textFill>
        </w:rPr>
        <w:t>3.5.1.13</w:t>
      </w:r>
      <w:r>
        <w:rPr>
          <w:rFonts w:hint="eastAsia" w:ascii="宋体" w:hAnsi="宋体" w:cs="宋体"/>
          <w:color w:val="000000" w:themeColor="text1"/>
          <w:sz w:val="28"/>
          <w:szCs w:val="44"/>
          <w:lang w:val="en-US" w:eastAsia="zh-CN"/>
          <w14:textFill>
            <w14:solidFill>
              <w14:schemeClr w14:val="tx1"/>
            </w14:solidFill>
          </w14:textFill>
        </w:rPr>
        <w:t xml:space="preserve"> </w:t>
      </w:r>
      <w:r>
        <w:rPr>
          <w:rFonts w:hint="eastAsia" w:ascii="宋体" w:hAnsi="宋体" w:cs="宋体"/>
          <w:color w:val="000000" w:themeColor="text1"/>
          <w:sz w:val="28"/>
          <w:szCs w:val="44"/>
          <w14:textFill>
            <w14:solidFill>
              <w14:schemeClr w14:val="tx1"/>
            </w14:solidFill>
          </w14:textFill>
        </w:rPr>
        <w:t>自动化控制系统危险性分析</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（1）安全联锁装置失效，人员进入机加工工作区域，可能导致机械伤害。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（2）自控系统失灵均有可能导致机械伤害。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（3）限位装置或开关失效。未触发限位开关；限位开关装置损坏；限位开关线路出问题，可能引发机械伤害。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（4）起重设备的操纵系统失灵或安全装置失效（如限位装置不完善）而引发事故，如制动装置失灵而造成重物的冲击和夹挤。</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（5）如发生停电或通讯系统故障，未设置UPS应急电源等，将导致控制系统瘫痪，造成设备失控，造成人员伤亡或设备损坏。</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（6）运行过程中，未执行定期诊断制度或对诊断出中的不稳定性等现象进行及时处理等，均有可能造成控制系统失效等引起事故等级扩大。</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（7）如发生停电或通讯系统故障有可能对设备和管道运行产生危害。</w:t>
      </w:r>
    </w:p>
    <w:p>
      <w:pPr>
        <w:pStyle w:val="5"/>
        <w:keepNext w:val="0"/>
        <w:keepLines w:val="0"/>
        <w:snapToGrid w:val="0"/>
        <w:spacing w:before="0" w:after="0" w:line="360" w:lineRule="auto"/>
        <w:jc w:val="left"/>
        <w:rPr>
          <w:rFonts w:ascii="宋体" w:hAnsi="宋体" w:cs="宋体"/>
          <w:sz w:val="28"/>
          <w:szCs w:val="28"/>
        </w:rPr>
      </w:pPr>
      <w:bookmarkStart w:id="348" w:name="_Toc5477417"/>
      <w:bookmarkStart w:id="349" w:name="_Toc5477047"/>
      <w:bookmarkStart w:id="350" w:name="_Toc58579103"/>
      <w:bookmarkStart w:id="351" w:name="_Toc42679888"/>
      <w:bookmarkStart w:id="352" w:name="_Toc20060"/>
      <w:r>
        <w:rPr>
          <w:rFonts w:hint="eastAsia" w:ascii="宋体" w:hAnsi="宋体" w:cs="宋体"/>
          <w:sz w:val="28"/>
          <w:szCs w:val="28"/>
        </w:rPr>
        <w:t>3.5.2</w:t>
      </w:r>
      <w:bookmarkEnd w:id="348"/>
      <w:bookmarkEnd w:id="349"/>
      <w:r>
        <w:rPr>
          <w:rFonts w:hint="eastAsia" w:ascii="宋体" w:hAnsi="宋体" w:cs="宋体"/>
          <w:sz w:val="28"/>
          <w:szCs w:val="28"/>
          <w:lang w:val="en-US" w:eastAsia="zh-CN"/>
        </w:rPr>
        <w:t xml:space="preserve"> </w:t>
      </w:r>
      <w:r>
        <w:rPr>
          <w:rFonts w:hint="eastAsia" w:ascii="宋体" w:hAnsi="宋体" w:cs="宋体"/>
          <w:sz w:val="28"/>
          <w:szCs w:val="28"/>
        </w:rPr>
        <w:t>装配生产线危险性分析</w:t>
      </w:r>
      <w:bookmarkEnd w:id="350"/>
      <w:bookmarkEnd w:id="351"/>
      <w:bookmarkEnd w:id="352"/>
    </w:p>
    <w:p>
      <w:pPr>
        <w:snapToGrid w:val="0"/>
        <w:spacing w:line="360" w:lineRule="auto"/>
        <w:ind w:firstLine="560" w:firstLineChars="200"/>
        <w:rPr>
          <w:sz w:val="28"/>
          <w:szCs w:val="28"/>
        </w:rPr>
      </w:pPr>
      <w:r>
        <w:rPr>
          <w:rFonts w:hint="eastAsia"/>
          <w:sz w:val="28"/>
          <w:szCs w:val="28"/>
        </w:rPr>
        <w:t>本生产线主要是汽油机分装、总装、热试、后装、成品包装。</w:t>
      </w:r>
    </w:p>
    <w:p>
      <w:pPr>
        <w:snapToGrid w:val="0"/>
        <w:spacing w:line="360" w:lineRule="auto"/>
        <w:ind w:firstLine="560" w:firstLineChars="200"/>
        <w:rPr>
          <w:sz w:val="28"/>
          <w:szCs w:val="28"/>
        </w:rPr>
      </w:pPr>
      <w:r>
        <w:rPr>
          <w:rFonts w:hint="eastAsia"/>
          <w:sz w:val="28"/>
          <w:szCs w:val="28"/>
        </w:rPr>
        <w:t>本生产线主要涉及到的危险有害因素：触电、火灾、爆炸、机械伤害、物体打击、窒息、容器爆炸、噪声、其他。</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3.5.2.1</w:t>
      </w:r>
      <w:r>
        <w:rPr>
          <w:rFonts w:hint="eastAsia" w:ascii="宋体" w:hAnsi="宋体" w:cs="宋体"/>
          <w:sz w:val="28"/>
          <w:szCs w:val="44"/>
          <w:lang w:val="en-US" w:eastAsia="zh-CN"/>
        </w:rPr>
        <w:t xml:space="preserve"> </w:t>
      </w:r>
      <w:r>
        <w:rPr>
          <w:rFonts w:hint="eastAsia" w:ascii="宋体" w:hAnsi="宋体" w:cs="宋体"/>
          <w:sz w:val="28"/>
          <w:szCs w:val="44"/>
        </w:rPr>
        <w:t>机械伤害</w:t>
      </w:r>
    </w:p>
    <w:p>
      <w:pPr>
        <w:snapToGrid w:val="0"/>
        <w:spacing w:line="360" w:lineRule="auto"/>
        <w:ind w:firstLine="560" w:firstLineChars="200"/>
        <w:rPr>
          <w:sz w:val="28"/>
          <w:szCs w:val="28"/>
        </w:rPr>
      </w:pPr>
      <w:r>
        <w:rPr>
          <w:rFonts w:hint="eastAsia"/>
          <w:sz w:val="28"/>
          <w:szCs w:val="28"/>
        </w:rPr>
        <w:t>1、本生产线使用的设备转传动部位的防护罩、防护挡板等缺损或被任意拆除、设备转动零部件松脱导致物件飞出等均可能造成机械伤害。</w:t>
      </w:r>
    </w:p>
    <w:p>
      <w:pPr>
        <w:snapToGrid w:val="0"/>
        <w:spacing w:line="360" w:lineRule="auto"/>
        <w:ind w:firstLine="560" w:firstLineChars="200"/>
        <w:rPr>
          <w:sz w:val="28"/>
          <w:szCs w:val="28"/>
        </w:rPr>
      </w:pPr>
      <w:r>
        <w:rPr>
          <w:rFonts w:hint="eastAsia"/>
          <w:sz w:val="28"/>
          <w:szCs w:val="28"/>
        </w:rPr>
        <w:t>2、装配线空中输送线、输送辊道运行时，设备转传动部位的防护罩、防护挡板等缺损或被任意拆除、设备转动零部件松脱导致物件飞出等均可能造成机械伤害。由于安全设施不齐全，人员不按要求穿戴劳动防护用品，导致衣角、裤腿、头发等被外露转动件缠绕而导致人员伤害事故。</w:t>
      </w:r>
    </w:p>
    <w:p>
      <w:pPr>
        <w:snapToGrid w:val="0"/>
        <w:spacing w:line="360" w:lineRule="auto"/>
        <w:ind w:firstLine="560" w:firstLineChars="200"/>
        <w:rPr>
          <w:sz w:val="28"/>
          <w:szCs w:val="28"/>
        </w:rPr>
      </w:pPr>
      <w:r>
        <w:rPr>
          <w:rFonts w:hint="eastAsia"/>
          <w:sz w:val="28"/>
          <w:szCs w:val="28"/>
        </w:rPr>
        <w:t>2、机器人系统在运行过程中，作业人员擅自进入机器人作业区可能因为因锐边造成人员刺穿或刺破；机器人的旋转运行部件会造成剪切、机器人的不稳定会造成碰撞，机器人在大臂回转、俯仰、小臂弯曲手腕旋转等引起的挤压、撞击等，可能会发生人员与机器人的相互剪切、碰撞、摩擦等机械伤害。</w:t>
      </w:r>
    </w:p>
    <w:p>
      <w:pPr>
        <w:snapToGrid w:val="0"/>
        <w:spacing w:line="360" w:lineRule="auto"/>
        <w:ind w:firstLine="560" w:firstLineChars="200"/>
        <w:rPr>
          <w:sz w:val="28"/>
          <w:szCs w:val="28"/>
        </w:rPr>
      </w:pPr>
      <w:r>
        <w:rPr>
          <w:rFonts w:hint="eastAsia"/>
          <w:sz w:val="28"/>
          <w:szCs w:val="28"/>
        </w:rPr>
        <w:t>3、机器人在运行过程中因动力故障、意外启停或传感器、控制器失灵等情况，会使机器人失控，可能会造成砸伤、夹伤、碰伤或财产损失等危害。</w:t>
      </w:r>
    </w:p>
    <w:p>
      <w:pPr>
        <w:snapToGrid w:val="0"/>
        <w:spacing w:line="360" w:lineRule="auto"/>
        <w:ind w:firstLine="560" w:firstLineChars="200"/>
        <w:rPr>
          <w:sz w:val="28"/>
          <w:szCs w:val="28"/>
        </w:rPr>
      </w:pPr>
      <w:r>
        <w:rPr>
          <w:rFonts w:hint="eastAsia"/>
          <w:sz w:val="28"/>
          <w:szCs w:val="28"/>
        </w:rPr>
        <w:t>4、戴手套使用手持电动工具时，因手套被铉缠造成伤害的危险。检修设备时未停止设备运行、对紧靠设备的运行部件未设置护栏、在切断电源处电源开关未加锁或设专人监护或悬挂警示牌，可能造成检修人员机械伤害。</w:t>
      </w:r>
    </w:p>
    <w:p>
      <w:pPr>
        <w:snapToGrid w:val="0"/>
        <w:spacing w:line="360" w:lineRule="auto"/>
        <w:ind w:firstLine="560" w:firstLineChars="200"/>
        <w:rPr>
          <w:sz w:val="28"/>
          <w:szCs w:val="28"/>
        </w:rPr>
      </w:pPr>
      <w:r>
        <w:rPr>
          <w:rFonts w:hint="eastAsia"/>
          <w:sz w:val="28"/>
          <w:szCs w:val="28"/>
        </w:rPr>
        <w:t>5、安全联锁装置失效、限位装置或开关失效、自控系统失灵均有可能导致机械伤害。</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3.5.2.2</w:t>
      </w:r>
      <w:r>
        <w:rPr>
          <w:rFonts w:hint="eastAsia" w:ascii="宋体" w:hAnsi="宋体" w:cs="宋体"/>
          <w:sz w:val="28"/>
          <w:szCs w:val="44"/>
          <w:lang w:val="en-US" w:eastAsia="zh-CN"/>
        </w:rPr>
        <w:t xml:space="preserve"> </w:t>
      </w:r>
      <w:r>
        <w:rPr>
          <w:rFonts w:hint="eastAsia" w:ascii="宋体" w:hAnsi="宋体" w:cs="宋体"/>
          <w:sz w:val="28"/>
          <w:szCs w:val="44"/>
        </w:rPr>
        <w:t>火灾、爆炸</w:t>
      </w:r>
    </w:p>
    <w:p>
      <w:pPr>
        <w:snapToGrid w:val="0"/>
        <w:spacing w:line="360" w:lineRule="auto"/>
        <w:ind w:firstLine="560" w:firstLineChars="200"/>
        <w:rPr>
          <w:sz w:val="28"/>
          <w:szCs w:val="28"/>
        </w:rPr>
      </w:pPr>
      <w:r>
        <w:rPr>
          <w:rFonts w:hint="eastAsia"/>
          <w:sz w:val="28"/>
          <w:szCs w:val="28"/>
        </w:rPr>
        <w:t xml:space="preserve">本生产线在热试过程中，需要使用到汽油，汽油属于极度易燃物质，其蒸气与空气可形成爆炸性混合物，遇明火、高热极易燃烧爆炸。与氧化剂能发生强烈反应。其蒸气比空气重，能在较低处扩散到相当远的地方，遇火源会着火回燃。热试过程中用油点发生汽油泄漏或油料输送管线破裂造成油品泄漏，与明火或高热等，发生火灾、爆炸。 </w:t>
      </w:r>
    </w:p>
    <w:p>
      <w:pPr>
        <w:snapToGrid w:val="0"/>
        <w:spacing w:line="360" w:lineRule="auto"/>
        <w:ind w:firstLine="560" w:firstLineChars="200"/>
        <w:rPr>
          <w:sz w:val="28"/>
          <w:szCs w:val="28"/>
        </w:rPr>
      </w:pPr>
      <w:r>
        <w:rPr>
          <w:rFonts w:hint="eastAsia"/>
          <w:sz w:val="28"/>
          <w:szCs w:val="28"/>
        </w:rPr>
        <w:t>同时本生产线中的输电线路设短路、超负荷运行可能引起电火灾。</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3.5.2.3</w:t>
      </w:r>
      <w:r>
        <w:rPr>
          <w:rFonts w:hint="eastAsia" w:ascii="宋体" w:hAnsi="宋体" w:cs="宋体"/>
          <w:sz w:val="28"/>
          <w:szCs w:val="44"/>
          <w:lang w:val="en-US" w:eastAsia="zh-CN"/>
        </w:rPr>
        <w:t xml:space="preserve"> </w:t>
      </w:r>
      <w:r>
        <w:rPr>
          <w:rFonts w:hint="eastAsia" w:ascii="宋体" w:hAnsi="宋体" w:cs="宋体"/>
          <w:sz w:val="28"/>
          <w:szCs w:val="44"/>
        </w:rPr>
        <w:t>触电</w:t>
      </w:r>
    </w:p>
    <w:p>
      <w:pPr>
        <w:snapToGrid w:val="0"/>
        <w:spacing w:line="360" w:lineRule="auto"/>
        <w:ind w:firstLine="560" w:firstLineChars="200"/>
        <w:rPr>
          <w:sz w:val="28"/>
          <w:szCs w:val="28"/>
        </w:rPr>
      </w:pPr>
      <w:r>
        <w:rPr>
          <w:rFonts w:hint="eastAsia"/>
          <w:sz w:val="28"/>
          <w:szCs w:val="28"/>
        </w:rPr>
        <w:t>本生产线涉及使用大量电气设备、输电线路，若电气设备设计、安装、施工、验收等存在质量缺陷、未定期进行检查维护，人员违章作业、无证操作等可能造成接触这些设施、装置的人员及在用电环境中的其他人员发生触电事故。</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3.5.2.4</w:t>
      </w:r>
      <w:r>
        <w:rPr>
          <w:rFonts w:hint="eastAsia" w:ascii="宋体" w:hAnsi="宋体" w:cs="宋体"/>
          <w:sz w:val="28"/>
          <w:szCs w:val="44"/>
          <w:lang w:val="en-US" w:eastAsia="zh-CN"/>
        </w:rPr>
        <w:t xml:space="preserve"> </w:t>
      </w:r>
      <w:r>
        <w:rPr>
          <w:rFonts w:hint="eastAsia" w:ascii="宋体" w:hAnsi="宋体" w:cs="宋体"/>
          <w:sz w:val="28"/>
          <w:szCs w:val="44"/>
        </w:rPr>
        <w:t>物体打击</w:t>
      </w:r>
    </w:p>
    <w:p>
      <w:pPr>
        <w:snapToGrid w:val="0"/>
        <w:spacing w:line="360" w:lineRule="auto"/>
        <w:ind w:firstLine="560" w:firstLineChars="200"/>
        <w:rPr>
          <w:sz w:val="28"/>
          <w:szCs w:val="28"/>
        </w:rPr>
      </w:pPr>
      <w:r>
        <w:rPr>
          <w:rFonts w:hint="eastAsia"/>
          <w:sz w:val="28"/>
          <w:szCs w:val="28"/>
        </w:rPr>
        <w:t>1、装配过程中搬运、安装零部件，若操作不慎或注意力不集中，相互配合作业时协调不一致，高处零部件放置不平稳造成零部件跌落等均可能会造成砸、碰撞、挤、压等伤害。</w:t>
      </w:r>
    </w:p>
    <w:p>
      <w:pPr>
        <w:snapToGrid w:val="0"/>
        <w:spacing w:line="360" w:lineRule="auto"/>
        <w:ind w:firstLine="560" w:firstLineChars="200"/>
        <w:rPr>
          <w:sz w:val="28"/>
          <w:szCs w:val="28"/>
        </w:rPr>
      </w:pPr>
      <w:r>
        <w:rPr>
          <w:rFonts w:hint="eastAsia"/>
          <w:sz w:val="28"/>
          <w:szCs w:val="28"/>
        </w:rPr>
        <w:t>2、装配线运行时，空中输送线输送的发动机碰撞到作业人员而造成伤害。</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3.5.2.5</w:t>
      </w:r>
      <w:r>
        <w:rPr>
          <w:rFonts w:hint="eastAsia" w:ascii="宋体" w:hAnsi="宋体" w:cs="宋体"/>
          <w:sz w:val="28"/>
          <w:szCs w:val="44"/>
          <w:lang w:val="en-US" w:eastAsia="zh-CN"/>
        </w:rPr>
        <w:t xml:space="preserve"> </w:t>
      </w:r>
      <w:r>
        <w:rPr>
          <w:rFonts w:hint="eastAsia" w:ascii="宋体" w:hAnsi="宋体" w:cs="宋体"/>
          <w:sz w:val="28"/>
          <w:szCs w:val="44"/>
        </w:rPr>
        <w:t>噪声</w:t>
      </w:r>
    </w:p>
    <w:p>
      <w:pPr>
        <w:snapToGrid w:val="0"/>
        <w:spacing w:line="360" w:lineRule="auto"/>
        <w:ind w:firstLine="560" w:firstLineChars="200"/>
        <w:rPr>
          <w:rFonts w:ascii="宋体" w:hAnsi="宋体"/>
          <w:bCs/>
          <w:snapToGrid w:val="0"/>
          <w:kern w:val="0"/>
          <w:sz w:val="28"/>
          <w:szCs w:val="28"/>
        </w:rPr>
      </w:pPr>
      <w:r>
        <w:rPr>
          <w:rFonts w:hint="eastAsia"/>
          <w:sz w:val="28"/>
          <w:szCs w:val="28"/>
        </w:rPr>
        <w:t>本工序使用的总装设备及空压机等，在运行过程中噪声较大，</w:t>
      </w:r>
      <w:r>
        <w:rPr>
          <w:rFonts w:hint="eastAsia" w:ascii="宋体" w:hAnsi="宋体"/>
          <w:bCs/>
          <w:snapToGrid w:val="0"/>
          <w:kern w:val="0"/>
          <w:sz w:val="28"/>
          <w:szCs w:val="28"/>
        </w:rPr>
        <w:t>人员长时间接触会产生职业病。</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3.5.2.6</w:t>
      </w:r>
      <w:r>
        <w:rPr>
          <w:rFonts w:hint="eastAsia" w:ascii="宋体" w:hAnsi="宋体" w:cs="宋体"/>
          <w:sz w:val="28"/>
          <w:szCs w:val="44"/>
          <w:lang w:val="en-US" w:eastAsia="zh-CN"/>
        </w:rPr>
        <w:t xml:space="preserve"> </w:t>
      </w:r>
      <w:r>
        <w:rPr>
          <w:rFonts w:hint="eastAsia" w:ascii="宋体" w:hAnsi="宋体" w:cs="宋体"/>
          <w:sz w:val="28"/>
          <w:szCs w:val="44"/>
        </w:rPr>
        <w:t>窒息</w:t>
      </w:r>
    </w:p>
    <w:p>
      <w:pPr>
        <w:snapToGrid w:val="0"/>
        <w:spacing w:line="360" w:lineRule="auto"/>
        <w:ind w:firstLine="560" w:firstLineChars="200"/>
        <w:rPr>
          <w:sz w:val="28"/>
          <w:szCs w:val="28"/>
        </w:rPr>
      </w:pPr>
      <w:r>
        <w:rPr>
          <w:rFonts w:hint="eastAsia"/>
          <w:sz w:val="28"/>
          <w:szCs w:val="28"/>
        </w:rPr>
        <w:t>测试间内若没有设置排风系统，当测试多台发动机后，测试间内的废气因不能及时排除而大量聚集，造成室内氧含量下降，当人员进入测试间时将可能发生窒息。</w:t>
      </w:r>
    </w:p>
    <w:p>
      <w:pPr>
        <w:pStyle w:val="5"/>
        <w:keepNext w:val="0"/>
        <w:keepLines w:val="0"/>
        <w:snapToGrid w:val="0"/>
        <w:spacing w:before="0" w:after="0" w:line="360" w:lineRule="auto"/>
        <w:jc w:val="left"/>
        <w:rPr>
          <w:rFonts w:ascii="宋体" w:hAnsi="宋体" w:cs="宋体"/>
          <w:sz w:val="28"/>
          <w:szCs w:val="28"/>
        </w:rPr>
      </w:pPr>
      <w:bookmarkStart w:id="353" w:name="_Toc5477418"/>
      <w:bookmarkStart w:id="354" w:name="_Toc5477048"/>
      <w:bookmarkStart w:id="355" w:name="_Toc42679889"/>
      <w:bookmarkStart w:id="356" w:name="_Toc58579104"/>
      <w:bookmarkStart w:id="357" w:name="_Toc1472"/>
      <w:r>
        <w:rPr>
          <w:rFonts w:hint="eastAsia" w:ascii="宋体" w:hAnsi="宋体" w:cs="宋体"/>
          <w:sz w:val="28"/>
          <w:szCs w:val="28"/>
        </w:rPr>
        <w:t>3.5.3</w:t>
      </w:r>
      <w:bookmarkEnd w:id="353"/>
      <w:bookmarkEnd w:id="354"/>
      <w:r>
        <w:rPr>
          <w:rFonts w:hint="eastAsia" w:ascii="宋体" w:hAnsi="宋体" w:cs="宋体"/>
          <w:sz w:val="28"/>
          <w:szCs w:val="28"/>
          <w:lang w:val="en-US" w:eastAsia="zh-CN"/>
        </w:rPr>
        <w:t xml:space="preserve"> </w:t>
      </w:r>
      <w:r>
        <w:rPr>
          <w:rFonts w:hint="eastAsia" w:ascii="宋体" w:hAnsi="宋体" w:cs="宋体"/>
          <w:sz w:val="28"/>
          <w:szCs w:val="28"/>
        </w:rPr>
        <w:t>后装涂装生产线危险性分析</w:t>
      </w:r>
      <w:bookmarkEnd w:id="355"/>
      <w:bookmarkEnd w:id="356"/>
      <w:bookmarkEnd w:id="357"/>
    </w:p>
    <w:p>
      <w:pPr>
        <w:snapToGrid w:val="0"/>
        <w:spacing w:line="360" w:lineRule="auto"/>
        <w:ind w:firstLine="560" w:firstLineChars="200"/>
        <w:rPr>
          <w:sz w:val="28"/>
          <w:szCs w:val="28"/>
        </w:rPr>
      </w:pPr>
      <w:r>
        <w:rPr>
          <w:rFonts w:hint="eastAsia"/>
          <w:sz w:val="28"/>
          <w:szCs w:val="28"/>
        </w:rPr>
        <w:t>本生产线主要完成试车后发动机放机油、外观清洗、补漆及试车后零件装配任务。主要设备设施为双层轨道、积放链、积放小车、停止器、驱动/紧张系统、生产线MES系统、机油回收系统、生产线全套气扳机、套筒、定扭力扳手、废气净化设备、加工面补漆用单机供料系统（含供料泵、料桶、特殊长接杆喷枪）。本生产线在补漆过程中需用到清漆、铝粉漆、耐高温漆等油漆。</w:t>
      </w:r>
    </w:p>
    <w:p>
      <w:pPr>
        <w:snapToGrid w:val="0"/>
        <w:spacing w:line="360" w:lineRule="auto"/>
        <w:ind w:firstLine="560" w:firstLineChars="200"/>
        <w:rPr>
          <w:sz w:val="28"/>
          <w:szCs w:val="28"/>
        </w:rPr>
      </w:pPr>
      <w:r>
        <w:rPr>
          <w:rFonts w:hint="eastAsia"/>
          <w:sz w:val="28"/>
          <w:szCs w:val="28"/>
        </w:rPr>
        <w:t>本生产线过程主要涉及到的危险有害因素有：机械伤害、触电、、火灾、中毒窒息、爆炸、物体打击。</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3.5.3.1</w:t>
      </w:r>
      <w:r>
        <w:rPr>
          <w:rFonts w:hint="eastAsia" w:ascii="宋体" w:hAnsi="宋体" w:cs="宋体"/>
          <w:sz w:val="28"/>
          <w:szCs w:val="44"/>
          <w:lang w:val="en-US" w:eastAsia="zh-CN"/>
        </w:rPr>
        <w:t xml:space="preserve"> </w:t>
      </w:r>
      <w:r>
        <w:rPr>
          <w:rFonts w:hint="eastAsia" w:ascii="宋体" w:hAnsi="宋体" w:cs="宋体"/>
          <w:sz w:val="28"/>
          <w:szCs w:val="44"/>
        </w:rPr>
        <w:t>机械伤害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1、本生产线中的输送轨道、泵等设备转传动部位的防护罩、防护挡板等缺损或被任意拆除、设备转动零部件松脱导致物件飞出等均可能造成机械伤害。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2、发动机挂链输送时，作业人员可能碰撞到输送的发动机而造成伤害。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3、空中输送线运行时，人员不按要求穿戴劳动防护用品，导致衣角、头发等被外露转动件缠绕而导致人员伤害事故。</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机器人系统在运行过程中，作业人员擅自进入机器人作业区可能因为因锐边造成人员刺穿或刺破；机器人的旋转运行部件会造成剪切、机器人的不稳定会造成碰撞，机器人在大臂回转、俯仰、小臂弯曲手腕旋转等引起的挤压、撞击等，可能会发生人员与机器人的相互剪切、碰撞、摩擦等机械伤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5、机器人在运行过程中因动力故障、意外启停或传感器、控制器失灵等情况，会使机器人失控，可能会造成砸伤、夹伤、碰伤或财产损失等危害。</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6、安全联锁装置失效、限位装置或开关失效、自控系统失灵均有可能导致机械伤害。</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3.5.3.2</w:t>
      </w:r>
      <w:r>
        <w:rPr>
          <w:rFonts w:hint="eastAsia" w:ascii="宋体" w:hAnsi="宋体" w:cs="宋体"/>
          <w:sz w:val="28"/>
          <w:szCs w:val="44"/>
          <w:lang w:val="en-US" w:eastAsia="zh-CN"/>
        </w:rPr>
        <w:t xml:space="preserve"> </w:t>
      </w:r>
      <w:r>
        <w:rPr>
          <w:rFonts w:hint="eastAsia" w:ascii="宋体" w:hAnsi="宋体" w:cs="宋体"/>
          <w:sz w:val="28"/>
          <w:szCs w:val="44"/>
        </w:rPr>
        <w:t>中毒窒息</w:t>
      </w:r>
    </w:p>
    <w:p>
      <w:pPr>
        <w:snapToGrid w:val="0"/>
        <w:spacing w:line="360" w:lineRule="auto"/>
        <w:ind w:firstLine="560" w:firstLineChars="200"/>
        <w:rPr>
          <w:sz w:val="28"/>
          <w:szCs w:val="28"/>
        </w:rPr>
      </w:pPr>
      <w:r>
        <w:rPr>
          <w:rFonts w:hint="eastAsia"/>
          <w:sz w:val="28"/>
          <w:szCs w:val="28"/>
        </w:rPr>
        <w:t>本生产线在补漆过程中使用的油漆（含有甲苯、二甲苯成分）等溶剂均有不同程度的挥发性，上述物料或者其挥发出的蒸气均具有不同程度的毒害性，若作业场所为采取通风措施或通风不良，作业人员未穿戴相应的劳保用品，吸入油漆挥发出来的蒸汽，可能导致中毒窒息事故。另外，油漆如果遭遇高温，其挥发性更强，需特别注意。</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3.5.3.3</w:t>
      </w:r>
      <w:r>
        <w:rPr>
          <w:rFonts w:hint="eastAsia" w:ascii="宋体" w:hAnsi="宋体" w:cs="宋体"/>
          <w:sz w:val="28"/>
          <w:szCs w:val="44"/>
          <w:lang w:val="en-US" w:eastAsia="zh-CN"/>
        </w:rPr>
        <w:t xml:space="preserve"> </w:t>
      </w:r>
      <w:r>
        <w:rPr>
          <w:rFonts w:hint="eastAsia" w:ascii="宋体" w:hAnsi="宋体" w:cs="宋体"/>
          <w:sz w:val="28"/>
          <w:szCs w:val="44"/>
        </w:rPr>
        <w:t>火灾、爆炸</w:t>
      </w:r>
    </w:p>
    <w:p>
      <w:pPr>
        <w:snapToGrid w:val="0"/>
        <w:spacing w:line="360" w:lineRule="auto"/>
        <w:ind w:firstLine="560" w:firstLineChars="200"/>
        <w:rPr>
          <w:sz w:val="28"/>
          <w:szCs w:val="28"/>
        </w:rPr>
      </w:pPr>
      <w:r>
        <w:rPr>
          <w:rFonts w:hint="eastAsia"/>
          <w:sz w:val="28"/>
          <w:szCs w:val="28"/>
        </w:rPr>
        <w:t>1.补漆作业时，通风效果较差，有机溶剂（油漆）挥发出甲苯、二甲苯，当其达到爆炸极限时，在密闭环境下遇明火会发生爆炸，泄漏遇明火则会引起火灾事故。</w:t>
      </w:r>
    </w:p>
    <w:p>
      <w:pPr>
        <w:snapToGrid w:val="0"/>
        <w:spacing w:line="360" w:lineRule="auto"/>
        <w:ind w:firstLine="560" w:firstLineChars="200"/>
        <w:rPr>
          <w:sz w:val="28"/>
          <w:szCs w:val="28"/>
        </w:rPr>
      </w:pPr>
      <w:r>
        <w:rPr>
          <w:rFonts w:hint="eastAsia"/>
          <w:sz w:val="28"/>
          <w:szCs w:val="28"/>
        </w:rPr>
        <w:t>2.本生产线中的输电线路短路、超负荷运行或遇雷击可能引起电火灾。</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3.5.3.4</w:t>
      </w:r>
      <w:r>
        <w:rPr>
          <w:rFonts w:hint="eastAsia" w:ascii="宋体" w:hAnsi="宋体" w:cs="宋体"/>
          <w:sz w:val="28"/>
          <w:szCs w:val="44"/>
          <w:lang w:val="en-US" w:eastAsia="zh-CN"/>
        </w:rPr>
        <w:t xml:space="preserve"> </w:t>
      </w:r>
      <w:r>
        <w:rPr>
          <w:rFonts w:hint="eastAsia" w:ascii="宋体" w:hAnsi="宋体" w:cs="宋体"/>
          <w:sz w:val="28"/>
          <w:szCs w:val="44"/>
        </w:rPr>
        <w:t>触电</w:t>
      </w:r>
    </w:p>
    <w:p>
      <w:pPr>
        <w:snapToGrid w:val="0"/>
        <w:spacing w:line="360" w:lineRule="auto"/>
        <w:ind w:firstLine="560" w:firstLineChars="200"/>
        <w:rPr>
          <w:sz w:val="28"/>
          <w:szCs w:val="28"/>
        </w:rPr>
      </w:pPr>
      <w:r>
        <w:rPr>
          <w:rFonts w:hint="eastAsia"/>
          <w:sz w:val="28"/>
          <w:szCs w:val="28"/>
        </w:rPr>
        <w:t>本生产线中涉及使用大量电气设备、输电线路，若电气设备设计、安装、施工、验收等存在质量缺陷、未定期进行检查维护，人员违章作业、无证操作等可能造成接触这些设施、装置的人员及在用电环境中的其他人员发生触电事故。</w:t>
      </w:r>
    </w:p>
    <w:bookmarkEnd w:id="347"/>
    <w:p>
      <w:pPr>
        <w:pStyle w:val="5"/>
        <w:keepNext w:val="0"/>
        <w:keepLines w:val="0"/>
        <w:snapToGrid w:val="0"/>
        <w:spacing w:before="0" w:after="0" w:line="360" w:lineRule="auto"/>
        <w:jc w:val="left"/>
        <w:rPr>
          <w:rFonts w:ascii="宋体" w:hAnsi="宋体" w:cs="宋体"/>
          <w:sz w:val="28"/>
          <w:szCs w:val="28"/>
        </w:rPr>
      </w:pPr>
      <w:bookmarkStart w:id="358" w:name="_Toc2138"/>
      <w:bookmarkStart w:id="359" w:name="_Toc27783"/>
      <w:r>
        <w:rPr>
          <w:rFonts w:hint="eastAsia" w:ascii="宋体" w:hAnsi="宋体" w:cs="宋体"/>
          <w:sz w:val="28"/>
          <w:szCs w:val="28"/>
        </w:rPr>
        <w:t>3.5.4</w:t>
      </w:r>
      <w:r>
        <w:rPr>
          <w:rFonts w:hint="eastAsia" w:ascii="宋体" w:hAnsi="宋体" w:cs="宋体"/>
          <w:sz w:val="28"/>
          <w:szCs w:val="28"/>
          <w:lang w:val="en-US" w:eastAsia="zh-CN"/>
        </w:rPr>
        <w:t xml:space="preserve"> </w:t>
      </w:r>
      <w:r>
        <w:rPr>
          <w:rFonts w:hint="eastAsia" w:ascii="宋体" w:hAnsi="宋体" w:cs="宋体"/>
          <w:sz w:val="28"/>
          <w:szCs w:val="28"/>
        </w:rPr>
        <w:t>仓储危险、有害因素辨识</w:t>
      </w:r>
      <w:bookmarkEnd w:id="358"/>
      <w:bookmarkEnd w:id="359"/>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3.5.4.1</w:t>
      </w:r>
      <w:r>
        <w:rPr>
          <w:rFonts w:hint="eastAsia" w:ascii="宋体" w:hAnsi="宋体" w:cs="宋体"/>
          <w:sz w:val="28"/>
          <w:szCs w:val="44"/>
          <w:lang w:val="en-US" w:eastAsia="zh-CN"/>
        </w:rPr>
        <w:t xml:space="preserve"> </w:t>
      </w:r>
      <w:r>
        <w:rPr>
          <w:rFonts w:hint="eastAsia" w:ascii="宋体" w:hAnsi="宋体" w:cs="宋体"/>
          <w:sz w:val="28"/>
          <w:szCs w:val="44"/>
        </w:rPr>
        <w:t>火灾</w:t>
      </w:r>
    </w:p>
    <w:p>
      <w:pPr>
        <w:snapToGrid w:val="0"/>
        <w:spacing w:line="360" w:lineRule="auto"/>
        <w:ind w:firstLine="560" w:firstLineChars="200"/>
        <w:rPr>
          <w:sz w:val="28"/>
          <w:szCs w:val="28"/>
        </w:rPr>
      </w:pPr>
      <w:r>
        <w:rPr>
          <w:rFonts w:hint="eastAsia"/>
          <w:sz w:val="28"/>
          <w:szCs w:val="28"/>
        </w:rPr>
        <w:t>建设项目配件、产品的包装材料具有可燃性，在生产过程如果仓库管理不善；包装材料堆码较高；与灯具的距离不足0.5m；管理人员安全意识不强，包装材料遇到明火、火源或高温物体，会发生火灾事故。</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3.5.4.2</w:t>
      </w:r>
      <w:r>
        <w:rPr>
          <w:rFonts w:hint="eastAsia" w:ascii="宋体" w:hAnsi="宋体" w:cs="宋体"/>
          <w:sz w:val="28"/>
          <w:szCs w:val="44"/>
          <w:lang w:val="en-US" w:eastAsia="zh-CN"/>
        </w:rPr>
        <w:t xml:space="preserve"> </w:t>
      </w:r>
      <w:r>
        <w:rPr>
          <w:rFonts w:hint="eastAsia" w:ascii="宋体" w:hAnsi="宋体" w:cs="宋体"/>
          <w:sz w:val="28"/>
          <w:szCs w:val="44"/>
        </w:rPr>
        <w:t>车辆伤害</w:t>
      </w:r>
    </w:p>
    <w:p>
      <w:pPr>
        <w:snapToGrid w:val="0"/>
        <w:spacing w:line="360" w:lineRule="auto"/>
        <w:ind w:firstLine="560" w:firstLineChars="200"/>
        <w:rPr>
          <w:sz w:val="28"/>
          <w:szCs w:val="28"/>
        </w:rPr>
      </w:pPr>
      <w:r>
        <w:rPr>
          <w:rFonts w:hint="eastAsia"/>
          <w:sz w:val="28"/>
          <w:szCs w:val="28"/>
        </w:rPr>
        <w:t>1.项目的原辅材料、产品运输车辆较多，若人、物流未有效分流，人流、物流交叉位置未设置警示标志及减速措施，或交叉位置视线差，车辆车况不良或驾驶人员安全意识不足等原因，厂内行人有发生车辆伤害事故的危险。</w:t>
      </w:r>
    </w:p>
    <w:p>
      <w:pPr>
        <w:snapToGrid w:val="0"/>
        <w:spacing w:line="360" w:lineRule="auto"/>
        <w:ind w:firstLine="560" w:firstLineChars="200"/>
        <w:rPr>
          <w:sz w:val="28"/>
          <w:szCs w:val="28"/>
        </w:rPr>
      </w:pPr>
      <w:r>
        <w:rPr>
          <w:rFonts w:hint="eastAsia"/>
          <w:sz w:val="28"/>
          <w:szCs w:val="28"/>
        </w:rPr>
        <w:t>2.库内叉车行驶频繁，若仓库管理不到位，叉车运输车道及人行通道设置不合理，人员进入仓库违反仓库管理规定，未走人行通道，安全意识差等原因，叉车运行过程中未鸣笛等原因均会发生车辆伤害事故。</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3.5.4.3</w:t>
      </w:r>
      <w:r>
        <w:rPr>
          <w:rFonts w:hint="eastAsia" w:ascii="宋体" w:hAnsi="宋体" w:cs="宋体"/>
          <w:sz w:val="28"/>
          <w:szCs w:val="44"/>
          <w:lang w:val="en-US" w:eastAsia="zh-CN"/>
        </w:rPr>
        <w:t xml:space="preserve"> </w:t>
      </w:r>
      <w:r>
        <w:rPr>
          <w:rFonts w:hint="eastAsia" w:ascii="宋体" w:hAnsi="宋体" w:cs="宋体"/>
          <w:sz w:val="28"/>
          <w:szCs w:val="44"/>
        </w:rPr>
        <w:t>坍塌</w:t>
      </w:r>
    </w:p>
    <w:p>
      <w:pPr>
        <w:snapToGrid w:val="0"/>
        <w:spacing w:line="360" w:lineRule="auto"/>
        <w:ind w:firstLine="560" w:firstLineChars="200"/>
        <w:rPr>
          <w:sz w:val="28"/>
          <w:szCs w:val="28"/>
        </w:rPr>
      </w:pPr>
      <w:r>
        <w:rPr>
          <w:rFonts w:hint="eastAsia"/>
          <w:sz w:val="28"/>
          <w:szCs w:val="28"/>
        </w:rPr>
        <w:t>材料或产品堆放过高或堆放不稳，货架腐蚀损坏，则存在坍塌的危险。建筑物设计、建设存在缺陷或受外力撞击也会发生坍塌事故。</w:t>
      </w:r>
    </w:p>
    <w:p>
      <w:pPr>
        <w:pStyle w:val="4"/>
        <w:keepNext w:val="0"/>
        <w:keepLines w:val="0"/>
        <w:snapToGrid w:val="0"/>
        <w:spacing w:before="0" w:after="0" w:line="360" w:lineRule="auto"/>
        <w:jc w:val="left"/>
        <w:rPr>
          <w:rFonts w:ascii="宋体" w:hAnsi="宋体" w:cs="宋体"/>
          <w:snapToGrid/>
          <w:kern w:val="2"/>
        </w:rPr>
      </w:pPr>
      <w:bookmarkStart w:id="360" w:name="_Toc31790"/>
      <w:r>
        <w:rPr>
          <w:rFonts w:hint="eastAsia" w:ascii="宋体" w:hAnsi="宋体" w:cs="宋体"/>
          <w:snapToGrid/>
          <w:kern w:val="2"/>
        </w:rPr>
        <w:t>3.6</w:t>
      </w:r>
      <w:r>
        <w:rPr>
          <w:rFonts w:hint="eastAsia" w:ascii="宋体" w:hAnsi="宋体" w:cs="宋体"/>
          <w:snapToGrid/>
          <w:kern w:val="2"/>
          <w:lang w:val="en-US" w:eastAsia="zh-CN"/>
        </w:rPr>
        <w:t xml:space="preserve"> </w:t>
      </w:r>
      <w:r>
        <w:rPr>
          <w:rFonts w:hint="eastAsia" w:ascii="宋体" w:hAnsi="宋体" w:cs="宋体"/>
          <w:snapToGrid/>
          <w:kern w:val="2"/>
        </w:rPr>
        <w:t>公辅设施危险有害因素分析</w:t>
      </w:r>
      <w:bookmarkEnd w:id="360"/>
    </w:p>
    <w:p>
      <w:pPr>
        <w:pStyle w:val="5"/>
        <w:keepNext w:val="0"/>
        <w:keepLines w:val="0"/>
        <w:snapToGrid w:val="0"/>
        <w:spacing w:before="0" w:after="0" w:line="360" w:lineRule="auto"/>
        <w:jc w:val="left"/>
        <w:rPr>
          <w:rFonts w:ascii="宋体" w:hAnsi="宋体" w:cs="宋体"/>
          <w:sz w:val="28"/>
          <w:szCs w:val="28"/>
        </w:rPr>
      </w:pPr>
      <w:bookmarkStart w:id="361" w:name="_Toc3069"/>
      <w:r>
        <w:rPr>
          <w:rFonts w:hint="eastAsia" w:ascii="宋体" w:hAnsi="宋体" w:cs="宋体"/>
          <w:sz w:val="28"/>
          <w:szCs w:val="28"/>
        </w:rPr>
        <w:t>3.6.1</w:t>
      </w:r>
      <w:r>
        <w:rPr>
          <w:rFonts w:hint="eastAsia" w:ascii="宋体" w:hAnsi="宋体" w:cs="宋体"/>
          <w:sz w:val="28"/>
          <w:szCs w:val="28"/>
          <w:lang w:val="en-US" w:eastAsia="zh-CN"/>
        </w:rPr>
        <w:t xml:space="preserve"> </w:t>
      </w:r>
      <w:r>
        <w:rPr>
          <w:rFonts w:hint="eastAsia" w:ascii="宋体" w:hAnsi="宋体" w:cs="宋体"/>
          <w:sz w:val="28"/>
          <w:szCs w:val="28"/>
        </w:rPr>
        <w:t>容器爆炸</w:t>
      </w:r>
      <w:bookmarkEnd w:id="361"/>
    </w:p>
    <w:p>
      <w:pPr>
        <w:snapToGrid w:val="0"/>
        <w:spacing w:line="360" w:lineRule="auto"/>
        <w:ind w:firstLine="560" w:firstLineChars="200"/>
        <w:rPr>
          <w:sz w:val="28"/>
          <w:szCs w:val="28"/>
        </w:rPr>
      </w:pPr>
      <w:r>
        <w:rPr>
          <w:rFonts w:hint="eastAsia"/>
          <w:sz w:val="28"/>
          <w:szCs w:val="28"/>
        </w:rPr>
        <w:t>本生产线中空压机站的空气储气罐和压缩机本体，若安全管理制度不健全，无人操作，无操作规程，未定期检修维护，空压机缸体内积碳过多等；空气压缩机的安全阀、压力表等安全保护装置失效或没有按照标准调试检测；储气罐受损，机械受压强度降低；外界物件及物料与压力容器及管道发生碰撞，会造成储气罐和压缩机体发生爆炸，造成人员伤亡或财产损失。</w:t>
      </w:r>
    </w:p>
    <w:p>
      <w:pPr>
        <w:pStyle w:val="5"/>
        <w:keepNext w:val="0"/>
        <w:keepLines w:val="0"/>
        <w:snapToGrid w:val="0"/>
        <w:spacing w:before="0" w:after="0" w:line="360" w:lineRule="auto"/>
        <w:jc w:val="left"/>
        <w:rPr>
          <w:rFonts w:ascii="宋体" w:hAnsi="宋体" w:cs="宋体"/>
          <w:sz w:val="28"/>
          <w:szCs w:val="28"/>
        </w:rPr>
      </w:pPr>
      <w:bookmarkStart w:id="362" w:name="_Toc16415"/>
      <w:r>
        <w:rPr>
          <w:rFonts w:hint="eastAsia" w:ascii="宋体" w:hAnsi="宋体" w:cs="宋体"/>
          <w:sz w:val="28"/>
          <w:szCs w:val="28"/>
        </w:rPr>
        <w:t>3.6.2</w:t>
      </w:r>
      <w:r>
        <w:rPr>
          <w:rFonts w:hint="eastAsia" w:ascii="宋体" w:hAnsi="宋体" w:cs="宋体"/>
          <w:sz w:val="28"/>
          <w:szCs w:val="28"/>
          <w:lang w:val="en-US" w:eastAsia="zh-CN"/>
        </w:rPr>
        <w:t xml:space="preserve"> </w:t>
      </w:r>
      <w:r>
        <w:rPr>
          <w:rFonts w:hint="eastAsia" w:ascii="宋体" w:hAnsi="宋体" w:cs="宋体"/>
          <w:sz w:val="28"/>
          <w:szCs w:val="28"/>
        </w:rPr>
        <w:t>中毒窒息</w:t>
      </w:r>
      <w:bookmarkEnd w:id="362"/>
    </w:p>
    <w:p>
      <w:pPr>
        <w:snapToGrid w:val="0"/>
        <w:spacing w:line="360" w:lineRule="auto"/>
        <w:ind w:firstLine="560" w:firstLineChars="200"/>
        <w:rPr>
          <w:sz w:val="28"/>
          <w:szCs w:val="28"/>
        </w:rPr>
      </w:pPr>
      <w:r>
        <w:rPr>
          <w:rFonts w:hint="eastAsia"/>
          <w:sz w:val="28"/>
          <w:szCs w:val="28"/>
        </w:rPr>
        <w:t>本项目油漆库房存储的油漆，油漆中含有的有机溶剂存在有毒物质，如库房通风效果不良，吸入油漆挥发出来的蒸汽，可能导致中毒窒息事故。</w:t>
      </w:r>
    </w:p>
    <w:p>
      <w:pPr>
        <w:pStyle w:val="4"/>
        <w:keepNext w:val="0"/>
        <w:keepLines w:val="0"/>
        <w:snapToGrid w:val="0"/>
        <w:spacing w:before="0" w:after="0" w:line="360" w:lineRule="auto"/>
        <w:jc w:val="left"/>
        <w:rPr>
          <w:rFonts w:ascii="宋体" w:hAnsi="宋体" w:cs="宋体"/>
          <w:snapToGrid/>
          <w:kern w:val="2"/>
        </w:rPr>
      </w:pPr>
      <w:bookmarkStart w:id="363" w:name="_Toc18617"/>
      <w:r>
        <w:rPr>
          <w:rFonts w:hint="eastAsia" w:ascii="宋体" w:hAnsi="宋体" w:cs="宋体"/>
          <w:snapToGrid/>
          <w:kern w:val="2"/>
        </w:rPr>
        <w:t>3.7</w:t>
      </w:r>
      <w:r>
        <w:rPr>
          <w:rFonts w:hint="eastAsia" w:ascii="宋体" w:hAnsi="宋体" w:cs="宋体"/>
          <w:snapToGrid/>
          <w:kern w:val="2"/>
          <w:lang w:val="en-US" w:eastAsia="zh-CN"/>
        </w:rPr>
        <w:t xml:space="preserve"> </w:t>
      </w:r>
      <w:r>
        <w:rPr>
          <w:rFonts w:hint="eastAsia" w:ascii="宋体" w:hAnsi="宋体" w:cs="宋体"/>
          <w:snapToGrid/>
          <w:kern w:val="2"/>
        </w:rPr>
        <w:t>检维修作业维修有害因素分析</w:t>
      </w:r>
      <w:bookmarkEnd w:id="363"/>
    </w:p>
    <w:p>
      <w:pPr>
        <w:pStyle w:val="5"/>
        <w:keepNext w:val="0"/>
        <w:keepLines w:val="0"/>
        <w:snapToGrid w:val="0"/>
        <w:spacing w:before="0" w:after="0" w:line="360" w:lineRule="auto"/>
        <w:jc w:val="left"/>
        <w:rPr>
          <w:rFonts w:ascii="宋体" w:hAnsi="宋体" w:cs="宋体"/>
          <w:sz w:val="28"/>
          <w:szCs w:val="28"/>
        </w:rPr>
      </w:pPr>
      <w:bookmarkStart w:id="364" w:name="_Toc4317"/>
      <w:r>
        <w:rPr>
          <w:rFonts w:hint="eastAsia" w:ascii="宋体" w:hAnsi="宋体" w:cs="宋体"/>
          <w:sz w:val="28"/>
          <w:szCs w:val="28"/>
        </w:rPr>
        <w:t>3.7.1</w:t>
      </w:r>
      <w:r>
        <w:rPr>
          <w:rFonts w:hint="eastAsia" w:ascii="宋体" w:hAnsi="宋体" w:cs="宋体"/>
          <w:sz w:val="28"/>
          <w:szCs w:val="28"/>
          <w:lang w:val="en-US" w:eastAsia="zh-CN"/>
        </w:rPr>
        <w:t xml:space="preserve"> </w:t>
      </w:r>
      <w:r>
        <w:rPr>
          <w:rFonts w:hint="eastAsia" w:ascii="宋体" w:hAnsi="宋体" w:cs="宋体"/>
          <w:sz w:val="28"/>
          <w:szCs w:val="28"/>
        </w:rPr>
        <w:t>中毒窒息</w:t>
      </w:r>
      <w:bookmarkEnd w:id="364"/>
    </w:p>
    <w:p>
      <w:pPr>
        <w:snapToGrid w:val="0"/>
        <w:spacing w:line="360" w:lineRule="auto"/>
        <w:ind w:firstLine="560" w:firstLineChars="200"/>
        <w:rPr>
          <w:sz w:val="28"/>
          <w:szCs w:val="28"/>
        </w:rPr>
      </w:pPr>
      <w:r>
        <w:rPr>
          <w:rFonts w:hint="eastAsia"/>
          <w:sz w:val="28"/>
          <w:szCs w:val="28"/>
        </w:rPr>
        <w:t>本项目检修过程中使用乙炔、氧气热切割作业时，发生乙炔气泄漏，作业人员吸入会导致中毒窒息。</w:t>
      </w:r>
    </w:p>
    <w:p>
      <w:pPr>
        <w:pStyle w:val="5"/>
        <w:keepNext w:val="0"/>
        <w:keepLines w:val="0"/>
        <w:snapToGrid w:val="0"/>
        <w:spacing w:before="0" w:after="0" w:line="360" w:lineRule="auto"/>
        <w:jc w:val="left"/>
        <w:rPr>
          <w:rFonts w:ascii="宋体" w:hAnsi="宋体" w:cs="宋体"/>
          <w:sz w:val="28"/>
          <w:szCs w:val="28"/>
        </w:rPr>
      </w:pPr>
      <w:bookmarkStart w:id="365" w:name="_Toc24524"/>
      <w:r>
        <w:rPr>
          <w:rFonts w:hint="eastAsia" w:ascii="宋体" w:hAnsi="宋体" w:cs="宋体"/>
          <w:sz w:val="28"/>
          <w:szCs w:val="28"/>
        </w:rPr>
        <w:t>3.7.2</w:t>
      </w:r>
      <w:r>
        <w:rPr>
          <w:rFonts w:hint="eastAsia" w:ascii="宋体" w:hAnsi="宋体" w:cs="宋体"/>
          <w:sz w:val="28"/>
          <w:szCs w:val="28"/>
          <w:lang w:val="en-US" w:eastAsia="zh-CN"/>
        </w:rPr>
        <w:t xml:space="preserve"> </w:t>
      </w:r>
      <w:r>
        <w:rPr>
          <w:rFonts w:hint="eastAsia" w:ascii="宋体" w:hAnsi="宋体" w:cs="宋体"/>
          <w:sz w:val="28"/>
          <w:szCs w:val="28"/>
        </w:rPr>
        <w:t>火灾、爆炸</w:t>
      </w:r>
      <w:bookmarkEnd w:id="365"/>
    </w:p>
    <w:p>
      <w:pPr>
        <w:spacing w:line="500" w:lineRule="exact"/>
        <w:ind w:firstLine="565" w:firstLineChars="202"/>
        <w:rPr>
          <w:rFonts w:ascii="宋体" w:hAnsi="宋体" w:cs="宋体"/>
          <w:bCs/>
          <w:sz w:val="28"/>
          <w:szCs w:val="28"/>
        </w:rPr>
      </w:pPr>
      <w:r>
        <w:rPr>
          <w:rFonts w:hint="eastAsia"/>
          <w:sz w:val="28"/>
          <w:szCs w:val="28"/>
        </w:rPr>
        <w:t>本项目中检修使用的乙炔气瓶也可能因为管理不当，未采取相应保护措施发生火灾、爆炸。</w:t>
      </w:r>
      <w:r>
        <w:rPr>
          <w:rFonts w:hint="eastAsia" w:ascii="宋体" w:hAnsi="宋体" w:cs="宋体"/>
          <w:bCs/>
          <w:sz w:val="28"/>
          <w:szCs w:val="28"/>
        </w:rPr>
        <w:t>在进行动火作业时，周边存放有可燃物，易发生火灾事故。设备润滑油等可燃物介质吸附在设备、管道内壁表面的积垢或电缆桥架等死角中，如处理不干净，动火时会发生火灾事故。</w:t>
      </w:r>
    </w:p>
    <w:p>
      <w:pPr>
        <w:pStyle w:val="5"/>
        <w:keepNext w:val="0"/>
        <w:keepLines w:val="0"/>
        <w:snapToGrid w:val="0"/>
        <w:spacing w:before="0" w:after="0" w:line="360" w:lineRule="auto"/>
        <w:jc w:val="left"/>
        <w:rPr>
          <w:rFonts w:ascii="宋体" w:hAnsi="宋体" w:cs="宋体"/>
          <w:sz w:val="28"/>
          <w:szCs w:val="28"/>
        </w:rPr>
      </w:pPr>
      <w:bookmarkStart w:id="366" w:name="_Toc21852"/>
      <w:r>
        <w:rPr>
          <w:rFonts w:hint="eastAsia" w:ascii="宋体" w:hAnsi="宋体" w:cs="宋体"/>
          <w:sz w:val="28"/>
          <w:szCs w:val="28"/>
        </w:rPr>
        <w:t>3.7.3</w:t>
      </w:r>
      <w:r>
        <w:rPr>
          <w:rFonts w:hint="eastAsia" w:ascii="宋体" w:hAnsi="宋体" w:cs="宋体"/>
          <w:sz w:val="28"/>
          <w:szCs w:val="28"/>
          <w:lang w:val="en-US" w:eastAsia="zh-CN"/>
        </w:rPr>
        <w:t xml:space="preserve"> </w:t>
      </w:r>
      <w:r>
        <w:rPr>
          <w:rFonts w:hint="eastAsia" w:ascii="宋体" w:hAnsi="宋体" w:cs="宋体"/>
          <w:sz w:val="28"/>
          <w:szCs w:val="28"/>
        </w:rPr>
        <w:t>容器爆炸</w:t>
      </w:r>
      <w:bookmarkEnd w:id="366"/>
    </w:p>
    <w:p>
      <w:pPr>
        <w:snapToGrid w:val="0"/>
        <w:spacing w:line="360" w:lineRule="auto"/>
        <w:ind w:firstLine="560" w:firstLineChars="200"/>
        <w:rPr>
          <w:sz w:val="28"/>
          <w:szCs w:val="28"/>
        </w:rPr>
      </w:pPr>
      <w:r>
        <w:rPr>
          <w:rFonts w:hint="eastAsia"/>
          <w:sz w:val="28"/>
          <w:szCs w:val="28"/>
        </w:rPr>
        <w:t>本项目中储气罐、维修时使用的氧气瓶、乙炔气瓶等，存在容器爆炸事故的可能性。</w:t>
      </w:r>
    </w:p>
    <w:p>
      <w:pPr>
        <w:pStyle w:val="5"/>
        <w:keepNext w:val="0"/>
        <w:keepLines w:val="0"/>
        <w:snapToGrid w:val="0"/>
        <w:spacing w:before="0" w:after="0" w:line="360" w:lineRule="auto"/>
        <w:jc w:val="left"/>
        <w:rPr>
          <w:rFonts w:ascii="宋体" w:hAnsi="宋体" w:cs="宋体"/>
          <w:sz w:val="28"/>
          <w:szCs w:val="28"/>
        </w:rPr>
      </w:pPr>
      <w:bookmarkStart w:id="367" w:name="_Toc1090"/>
      <w:r>
        <w:rPr>
          <w:rFonts w:hint="eastAsia" w:ascii="宋体" w:hAnsi="宋体" w:cs="宋体"/>
          <w:sz w:val="28"/>
          <w:szCs w:val="28"/>
        </w:rPr>
        <w:t>3.7.4</w:t>
      </w:r>
      <w:r>
        <w:rPr>
          <w:rFonts w:hint="eastAsia" w:ascii="宋体" w:hAnsi="宋体" w:cs="宋体"/>
          <w:sz w:val="28"/>
          <w:szCs w:val="28"/>
          <w:lang w:val="en-US" w:eastAsia="zh-CN"/>
        </w:rPr>
        <w:t xml:space="preserve"> </w:t>
      </w:r>
      <w:r>
        <w:rPr>
          <w:rFonts w:hint="eastAsia" w:ascii="宋体" w:hAnsi="宋体" w:cs="宋体"/>
          <w:sz w:val="28"/>
          <w:szCs w:val="28"/>
        </w:rPr>
        <w:t>机械伤害</w:t>
      </w:r>
      <w:bookmarkEnd w:id="367"/>
    </w:p>
    <w:p>
      <w:pPr>
        <w:snapToGrid w:val="0"/>
        <w:spacing w:line="360" w:lineRule="auto"/>
        <w:ind w:firstLine="560" w:firstLineChars="200"/>
        <w:rPr>
          <w:sz w:val="28"/>
          <w:szCs w:val="28"/>
        </w:rPr>
      </w:pPr>
      <w:r>
        <w:rPr>
          <w:rFonts w:hint="eastAsia"/>
          <w:sz w:val="28"/>
          <w:szCs w:val="28"/>
        </w:rPr>
        <w:t>1、戴手套使用手持电动工具时，因手套被铉缠造成伤害的危险。检修设备时未停止设备运行、对紧靠设备的运行部件未设置护栏、在切断电源处电源开关未加锁或设专人监护或悬挂警示牌，可能造成检修人员机械伤害。</w:t>
      </w:r>
    </w:p>
    <w:p>
      <w:pPr>
        <w:snapToGrid w:val="0"/>
        <w:spacing w:line="360" w:lineRule="auto"/>
        <w:ind w:firstLine="560" w:firstLineChars="200"/>
        <w:rPr>
          <w:sz w:val="28"/>
          <w:szCs w:val="28"/>
        </w:rPr>
      </w:pPr>
      <w:r>
        <w:rPr>
          <w:rFonts w:hint="eastAsia"/>
          <w:sz w:val="28"/>
          <w:szCs w:val="28"/>
        </w:rPr>
        <w:t>2、未停机进行检修作业、检修作业后未恢复安全防护装置、在与机械相关联的不安全场所停留休息、任意进入机械运行危险区域均有可能发生机械伤害。</w:t>
      </w:r>
    </w:p>
    <w:p>
      <w:pPr>
        <w:snapToGrid w:val="0"/>
        <w:spacing w:line="360" w:lineRule="auto"/>
        <w:ind w:firstLine="560" w:firstLineChars="200"/>
        <w:rPr>
          <w:sz w:val="28"/>
          <w:szCs w:val="28"/>
        </w:rPr>
      </w:pPr>
      <w:r>
        <w:rPr>
          <w:rFonts w:hint="eastAsia"/>
          <w:sz w:val="28"/>
          <w:szCs w:val="28"/>
        </w:rPr>
        <w:t>3、使用砂轮、角磨机、无齿锯碎片伤人。</w:t>
      </w:r>
    </w:p>
    <w:p>
      <w:pPr>
        <w:snapToGrid w:val="0"/>
        <w:spacing w:line="360" w:lineRule="auto"/>
        <w:ind w:firstLine="560" w:firstLineChars="200"/>
        <w:rPr>
          <w:sz w:val="28"/>
          <w:szCs w:val="28"/>
        </w:rPr>
      </w:pPr>
      <w:r>
        <w:rPr>
          <w:rFonts w:hint="eastAsia"/>
          <w:sz w:val="28"/>
          <w:szCs w:val="28"/>
        </w:rPr>
        <w:t>4、设备试机时，安全附件未还原，造成绞、剪、切等形式机械伤害事故。</w:t>
      </w:r>
    </w:p>
    <w:p>
      <w:pPr>
        <w:pStyle w:val="5"/>
        <w:keepNext w:val="0"/>
        <w:keepLines w:val="0"/>
        <w:snapToGrid w:val="0"/>
        <w:spacing w:before="0" w:after="0" w:line="360" w:lineRule="auto"/>
        <w:jc w:val="left"/>
        <w:rPr>
          <w:rFonts w:ascii="宋体" w:hAnsi="宋体" w:cs="宋体"/>
          <w:sz w:val="28"/>
          <w:szCs w:val="28"/>
        </w:rPr>
      </w:pPr>
      <w:bookmarkStart w:id="368" w:name="_Toc25790"/>
      <w:r>
        <w:rPr>
          <w:rFonts w:hint="eastAsia" w:ascii="宋体" w:hAnsi="宋体" w:cs="宋体"/>
          <w:sz w:val="28"/>
          <w:szCs w:val="28"/>
        </w:rPr>
        <w:t>3.7.5</w:t>
      </w:r>
      <w:r>
        <w:rPr>
          <w:rFonts w:hint="eastAsia" w:ascii="宋体" w:hAnsi="宋体" w:cs="宋体"/>
          <w:sz w:val="28"/>
          <w:szCs w:val="28"/>
          <w:lang w:val="en-US" w:eastAsia="zh-CN"/>
        </w:rPr>
        <w:t xml:space="preserve"> </w:t>
      </w:r>
      <w:r>
        <w:rPr>
          <w:rFonts w:hint="eastAsia" w:ascii="宋体" w:hAnsi="宋体" w:cs="宋体"/>
          <w:sz w:val="28"/>
          <w:szCs w:val="28"/>
        </w:rPr>
        <w:t>触电</w:t>
      </w:r>
      <w:bookmarkEnd w:id="368"/>
    </w:p>
    <w:p>
      <w:pPr>
        <w:snapToGrid w:val="0"/>
        <w:spacing w:line="360" w:lineRule="auto"/>
        <w:ind w:firstLine="560" w:firstLineChars="200"/>
        <w:rPr>
          <w:sz w:val="28"/>
          <w:szCs w:val="28"/>
        </w:rPr>
      </w:pPr>
      <w:r>
        <w:rPr>
          <w:rFonts w:hint="eastAsia"/>
          <w:sz w:val="28"/>
          <w:szCs w:val="28"/>
        </w:rPr>
        <w:t>1、检修过程中意外造成电气线路、开关、设备短路，可能发生人员触电伤害事故。</w:t>
      </w:r>
    </w:p>
    <w:p>
      <w:pPr>
        <w:snapToGrid w:val="0"/>
        <w:spacing w:line="360" w:lineRule="auto"/>
        <w:ind w:firstLine="560" w:firstLineChars="200"/>
        <w:rPr>
          <w:sz w:val="28"/>
          <w:szCs w:val="28"/>
        </w:rPr>
      </w:pPr>
      <w:r>
        <w:rPr>
          <w:rFonts w:hint="eastAsia"/>
          <w:sz w:val="28"/>
          <w:szCs w:val="28"/>
        </w:rPr>
        <w:t>2、检修工具未配套使用漏电保护装置；进入金属容器内进行检修照明和电动工具未使用安全电压；手持式、移动式电气工器具无漏电保护装置；检修设备未采取可靠的断电措施，开关、控制柜处未设警示标识或加锁均可能引发触电事故。</w:t>
      </w:r>
    </w:p>
    <w:p>
      <w:pPr>
        <w:pStyle w:val="4"/>
        <w:keepNext w:val="0"/>
        <w:keepLines w:val="0"/>
        <w:snapToGrid w:val="0"/>
        <w:spacing w:before="0" w:after="0" w:line="360" w:lineRule="auto"/>
        <w:jc w:val="left"/>
        <w:rPr>
          <w:rFonts w:ascii="宋体" w:hAnsi="宋体" w:cs="宋体"/>
          <w:snapToGrid/>
          <w:kern w:val="2"/>
        </w:rPr>
      </w:pPr>
      <w:bookmarkStart w:id="369" w:name="_Toc26611"/>
      <w:r>
        <w:rPr>
          <w:rFonts w:hint="eastAsia" w:ascii="宋体" w:hAnsi="宋体" w:cs="宋体"/>
          <w:snapToGrid/>
          <w:kern w:val="2"/>
        </w:rPr>
        <w:t>3.8</w:t>
      </w:r>
      <w:r>
        <w:rPr>
          <w:rFonts w:hint="eastAsia" w:ascii="宋体" w:hAnsi="宋体" w:cs="宋体"/>
          <w:snapToGrid/>
          <w:kern w:val="2"/>
          <w:lang w:val="en-US" w:eastAsia="zh-CN"/>
        </w:rPr>
        <w:t xml:space="preserve"> </w:t>
      </w:r>
      <w:r>
        <w:rPr>
          <w:rFonts w:hint="eastAsia" w:ascii="宋体" w:hAnsi="宋体" w:cs="宋体"/>
          <w:snapToGrid/>
          <w:kern w:val="2"/>
        </w:rPr>
        <w:t>厂址及总平面布置危险、有害因素辨识与分析</w:t>
      </w:r>
      <w:bookmarkEnd w:id="339"/>
      <w:bookmarkEnd w:id="340"/>
      <w:bookmarkEnd w:id="369"/>
    </w:p>
    <w:p>
      <w:pPr>
        <w:pStyle w:val="5"/>
        <w:keepNext w:val="0"/>
        <w:keepLines w:val="0"/>
        <w:snapToGrid w:val="0"/>
        <w:spacing w:before="0" w:after="0" w:line="360" w:lineRule="auto"/>
        <w:jc w:val="left"/>
        <w:rPr>
          <w:rFonts w:ascii="宋体" w:hAnsi="宋体" w:cs="宋体"/>
          <w:sz w:val="28"/>
          <w:szCs w:val="28"/>
        </w:rPr>
      </w:pPr>
      <w:bookmarkStart w:id="370" w:name="_Toc416047282"/>
      <w:bookmarkStart w:id="371" w:name="_Toc27594"/>
      <w:bookmarkStart w:id="372" w:name="_Toc9341"/>
      <w:r>
        <w:rPr>
          <w:rFonts w:hint="eastAsia" w:ascii="宋体" w:hAnsi="宋体" w:cs="宋体"/>
          <w:sz w:val="28"/>
          <w:szCs w:val="28"/>
        </w:rPr>
        <w:t>3.8.1 厂址危险有害因素辨识与分析</w:t>
      </w:r>
      <w:bookmarkEnd w:id="370"/>
      <w:bookmarkEnd w:id="371"/>
      <w:bookmarkEnd w:id="372"/>
    </w:p>
    <w:p>
      <w:pPr>
        <w:snapToGrid w:val="0"/>
        <w:spacing w:line="360" w:lineRule="auto"/>
        <w:ind w:firstLine="560" w:firstLineChars="200"/>
        <w:rPr>
          <w:sz w:val="28"/>
          <w:szCs w:val="28"/>
        </w:rPr>
      </w:pPr>
      <w:r>
        <w:rPr>
          <w:rFonts w:hint="eastAsia"/>
          <w:sz w:val="28"/>
          <w:szCs w:val="28"/>
        </w:rPr>
        <w:t>本项目厂址可能受自然条件（地质及气象条件）、周边环境的影响，其存在的主要危险有害因素分析如下：</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3.8.1.1 地质条件的危险有害因素辨识与分析</w:t>
      </w:r>
    </w:p>
    <w:p>
      <w:pPr>
        <w:snapToGrid w:val="0"/>
        <w:spacing w:line="360" w:lineRule="auto"/>
        <w:ind w:firstLine="560" w:firstLineChars="200"/>
        <w:rPr>
          <w:sz w:val="28"/>
          <w:szCs w:val="28"/>
        </w:rPr>
      </w:pPr>
      <w:r>
        <w:rPr>
          <w:rFonts w:hint="eastAsia"/>
          <w:sz w:val="28"/>
          <w:szCs w:val="28"/>
        </w:rPr>
        <w:t>1.地质</w:t>
      </w:r>
    </w:p>
    <w:p>
      <w:pPr>
        <w:snapToGrid w:val="0"/>
        <w:spacing w:line="360" w:lineRule="auto"/>
        <w:ind w:firstLine="560" w:firstLineChars="200"/>
        <w:rPr>
          <w:sz w:val="28"/>
          <w:szCs w:val="28"/>
        </w:rPr>
      </w:pPr>
      <w:r>
        <w:rPr>
          <w:rFonts w:hint="eastAsia"/>
          <w:sz w:val="28"/>
          <w:szCs w:val="28"/>
        </w:rPr>
        <w:t>地质灾害主要由地形地貌、地层岩性，地质构造、地下水、地震、暴雨等因素等引发，可能会因为地质不良或未根据地质情况采取相应的措施，造成建构筑物坍塌、地基塌陷、基础不均匀沉降等危险，基础不均匀下沉会导致设备损坏、管线破裂，发生火灾爆炸、灼伤、触电等事故。</w:t>
      </w:r>
    </w:p>
    <w:p>
      <w:pPr>
        <w:snapToGrid w:val="0"/>
        <w:spacing w:line="360" w:lineRule="auto"/>
        <w:ind w:firstLine="560" w:firstLineChars="200"/>
        <w:rPr>
          <w:sz w:val="28"/>
          <w:szCs w:val="28"/>
        </w:rPr>
      </w:pPr>
      <w:r>
        <w:rPr>
          <w:rFonts w:hint="eastAsia"/>
          <w:sz w:val="28"/>
          <w:szCs w:val="28"/>
        </w:rPr>
        <w:t>2.地震</w:t>
      </w:r>
    </w:p>
    <w:p>
      <w:pPr>
        <w:snapToGrid w:val="0"/>
        <w:spacing w:line="360" w:lineRule="auto"/>
        <w:ind w:firstLine="560" w:firstLineChars="200"/>
        <w:rPr>
          <w:sz w:val="28"/>
          <w:szCs w:val="28"/>
        </w:rPr>
      </w:pPr>
      <w:r>
        <w:rPr>
          <w:rFonts w:hint="eastAsia"/>
          <w:sz w:val="28"/>
          <w:szCs w:val="28"/>
        </w:rPr>
        <w:t>根据《建筑抗震设计规范（2016版）》（GB 50011-2010）附录A.0.25项，本项目属国家级昆明经济技术开发区羊甫片区东部云内动力工业园。昆明市经开区抗震设防烈度为8度，设计地震分组为第三组，设计基本地震加速度值为0.30，特征周期值为0.45s</w:t>
      </w:r>
      <w:r>
        <w:rPr>
          <w:rFonts w:hint="eastAsia"/>
          <w:sz w:val="28"/>
          <w:szCs w:val="28"/>
          <w:lang w:val="zh-CN"/>
        </w:rPr>
        <w:t>。</w:t>
      </w:r>
      <w:r>
        <w:rPr>
          <w:rFonts w:hint="eastAsia"/>
          <w:sz w:val="28"/>
          <w:szCs w:val="28"/>
        </w:rPr>
        <w:t>本项目所有建构筑物均按8度抗震烈度设防。本项目的工艺设备将有关底座加固处理，管道采用必要的耐震连接方式。</w:t>
      </w:r>
    </w:p>
    <w:p>
      <w:pPr>
        <w:pStyle w:val="6"/>
        <w:keepNext w:val="0"/>
        <w:spacing w:line="360" w:lineRule="auto"/>
        <w:ind w:firstLine="562" w:firstLineChars="200"/>
        <w:jc w:val="left"/>
        <w:rPr>
          <w:sz w:val="28"/>
          <w:szCs w:val="28"/>
        </w:rPr>
      </w:pPr>
      <w:r>
        <w:rPr>
          <w:rFonts w:hint="eastAsia" w:ascii="宋体" w:hAnsi="宋体" w:cs="宋体"/>
          <w:sz w:val="28"/>
          <w:szCs w:val="44"/>
        </w:rPr>
        <w:t>3.8.1.2 气象条件的危险有害因素辨识与分析</w:t>
      </w:r>
    </w:p>
    <w:p>
      <w:pPr>
        <w:snapToGrid w:val="0"/>
        <w:spacing w:line="360" w:lineRule="auto"/>
        <w:ind w:firstLine="560" w:firstLineChars="200"/>
        <w:rPr>
          <w:sz w:val="28"/>
          <w:szCs w:val="28"/>
        </w:rPr>
      </w:pPr>
      <w:r>
        <w:rPr>
          <w:rFonts w:hint="eastAsia"/>
          <w:sz w:val="28"/>
          <w:szCs w:val="28"/>
        </w:rPr>
        <w:t>1.降雨</w:t>
      </w:r>
    </w:p>
    <w:p>
      <w:pPr>
        <w:snapToGrid w:val="0"/>
        <w:spacing w:line="360" w:lineRule="auto"/>
        <w:ind w:firstLine="560" w:firstLineChars="200"/>
        <w:rPr>
          <w:sz w:val="28"/>
          <w:szCs w:val="28"/>
        </w:rPr>
      </w:pPr>
      <w:r>
        <w:rPr>
          <w:rFonts w:hint="eastAsia"/>
          <w:sz w:val="28"/>
          <w:szCs w:val="28"/>
        </w:rPr>
        <w:t>暴雨是主要气象灾害之一。长时间的暴雨容易产生积水或径流淹没低洼地段，造成洪涝灾害。厂区设备可能受潮、生产车间顶棚漏雨，地面积水导致电气设备、线路、开关装置短路，发生漏电伤人事故。</w:t>
      </w:r>
    </w:p>
    <w:p>
      <w:pPr>
        <w:snapToGrid w:val="0"/>
        <w:spacing w:line="360" w:lineRule="auto"/>
        <w:ind w:firstLine="560" w:firstLineChars="200"/>
        <w:rPr>
          <w:sz w:val="28"/>
          <w:szCs w:val="28"/>
        </w:rPr>
      </w:pPr>
      <w:r>
        <w:rPr>
          <w:rFonts w:hint="eastAsia"/>
          <w:sz w:val="28"/>
          <w:szCs w:val="28"/>
        </w:rPr>
        <w:t>2.雷击</w:t>
      </w:r>
    </w:p>
    <w:p>
      <w:pPr>
        <w:snapToGrid w:val="0"/>
        <w:spacing w:line="360" w:lineRule="auto"/>
        <w:ind w:firstLine="560" w:firstLineChars="200"/>
        <w:rPr>
          <w:sz w:val="28"/>
          <w:szCs w:val="28"/>
        </w:rPr>
      </w:pPr>
      <w:r>
        <w:rPr>
          <w:rFonts w:hint="eastAsia"/>
          <w:sz w:val="28"/>
          <w:szCs w:val="28"/>
        </w:rPr>
        <w:t>云南是我国的雷暴高发区之一，雷暴活动十分频繁。雷击可能造成设备、设施的损坏和人员伤亡事故；对电气系统，还可能造成火灾、爆炸等事故等。当遇到雷雨天气时，本项目的各建构筑物、设备、管道和人员均可能受到雷击伤害。</w:t>
      </w:r>
    </w:p>
    <w:p>
      <w:pPr>
        <w:pStyle w:val="6"/>
        <w:keepNext w:val="0"/>
        <w:spacing w:line="360" w:lineRule="auto"/>
        <w:ind w:firstLine="562" w:firstLineChars="200"/>
        <w:jc w:val="left"/>
        <w:rPr>
          <w:rFonts w:ascii="宋体" w:hAnsi="宋体" w:cs="宋体"/>
          <w:sz w:val="28"/>
          <w:szCs w:val="44"/>
        </w:rPr>
      </w:pPr>
      <w:r>
        <w:rPr>
          <w:rFonts w:hint="eastAsia" w:ascii="宋体" w:hAnsi="宋体" w:cs="宋体"/>
          <w:sz w:val="28"/>
          <w:szCs w:val="44"/>
        </w:rPr>
        <w:t>3.8.1.3</w:t>
      </w:r>
      <w:r>
        <w:rPr>
          <w:rFonts w:hint="eastAsia" w:ascii="宋体" w:hAnsi="宋体" w:cs="宋体"/>
          <w:sz w:val="28"/>
          <w:szCs w:val="44"/>
          <w:lang w:val="en-US" w:eastAsia="zh-CN"/>
        </w:rPr>
        <w:t xml:space="preserve"> </w:t>
      </w:r>
      <w:r>
        <w:rPr>
          <w:rFonts w:hint="eastAsia" w:ascii="宋体" w:hAnsi="宋体" w:cs="宋体"/>
          <w:sz w:val="28"/>
          <w:szCs w:val="44"/>
        </w:rPr>
        <w:t>周边环境危险有害因素辨识与分析</w:t>
      </w:r>
    </w:p>
    <w:p>
      <w:pPr>
        <w:snapToGrid w:val="0"/>
        <w:spacing w:line="360" w:lineRule="auto"/>
        <w:ind w:firstLine="560" w:firstLineChars="200"/>
        <w:rPr>
          <w:sz w:val="28"/>
          <w:szCs w:val="28"/>
        </w:rPr>
      </w:pPr>
      <w:r>
        <w:rPr>
          <w:rFonts w:hint="eastAsia" w:ascii="宋体" w:hAnsi="宋体" w:cs="宋体"/>
          <w:sz w:val="28"/>
          <w:szCs w:val="28"/>
        </w:rPr>
        <w:t>第三联合厂房北侧为第一联合厂房，第一联合厂房西北角区域租给恒和科技环保有限公司生产发动机尾气后处理设备，东北角为原云内动力汽油机车间仓库，南部为云内动力装配车间，装配车间内</w:t>
      </w:r>
      <w:r>
        <w:rPr>
          <w:rFonts w:hint="eastAsia" w:ascii="宋体" w:hAnsi="宋体" w:cs="宋体"/>
          <w:color w:val="000000"/>
          <w:sz w:val="28"/>
        </w:rPr>
        <w:t>车辆使用过程中，因为驾驶员违规操作发生交通事故，可能造成交通堵塞，影响该项目运输</w:t>
      </w:r>
      <w:r>
        <w:rPr>
          <w:rFonts w:hint="eastAsia" w:ascii="宋体" w:hAnsi="宋体" w:cs="宋体"/>
          <w:sz w:val="28"/>
          <w:szCs w:val="28"/>
        </w:rPr>
        <w:t>；西侧有垃圾回收站、污水处理站、油库、化学品库等建筑，油库和化学品库发生火灾爆炸，</w:t>
      </w:r>
      <w:r>
        <w:rPr>
          <w:rFonts w:hint="eastAsia" w:ascii="宋体" w:hAnsi="宋体" w:cs="宋体"/>
          <w:color w:val="000000"/>
          <w:sz w:val="28"/>
        </w:rPr>
        <w:t>本项目设施及设备可能会造成火灾、毁坏、功能异常、正常生产秩序打乱等危险，还可能造成工作人员吸入蒸发有毒气体，造成中毒窒息</w:t>
      </w:r>
      <w:r>
        <w:rPr>
          <w:rFonts w:hint="eastAsia" w:ascii="宋体" w:hAnsi="宋体" w:cs="宋体"/>
          <w:sz w:val="28"/>
          <w:szCs w:val="28"/>
        </w:rPr>
        <w:t>；东侧为物流配送中心，若配送中心驾驶员疲劳驾驶、错误操作等原因引发交通事故，造成交通拥堵，影响该项目产品运输。</w:t>
      </w:r>
      <w:r>
        <w:rPr>
          <w:rFonts w:hint="eastAsia"/>
          <w:sz w:val="28"/>
          <w:szCs w:val="28"/>
        </w:rPr>
        <w:t>本项目生产线机械化、自动化程度较高，正常情况对该地区周边的危害不大。</w:t>
      </w:r>
    </w:p>
    <w:p>
      <w:pPr>
        <w:snapToGrid w:val="0"/>
        <w:spacing w:line="360" w:lineRule="auto"/>
        <w:ind w:firstLine="482"/>
        <w:rPr>
          <w:rFonts w:ascii="宋体" w:hAnsi="宋体" w:cs="宋体"/>
          <w:sz w:val="28"/>
          <w:szCs w:val="28"/>
        </w:rPr>
      </w:pPr>
      <w:r>
        <w:rPr>
          <w:rFonts w:hint="eastAsia" w:ascii="宋体" w:hAnsi="宋体" w:cs="宋体"/>
          <w:sz w:val="28"/>
          <w:szCs w:val="28"/>
        </w:rPr>
        <w:t>产业化建设项目在新建第三联合厂房内布置，由北向南依次布置机体加工线、缸盖加工线，装配生产线，后装生产线，项目南侧为公共仓库，最南侧为研发平台，分区明确，相互影响小；</w:t>
      </w:r>
    </w:p>
    <w:p>
      <w:pPr>
        <w:pStyle w:val="5"/>
        <w:keepNext w:val="0"/>
        <w:keepLines w:val="0"/>
        <w:snapToGrid w:val="0"/>
        <w:spacing w:before="0" w:after="0" w:line="360" w:lineRule="auto"/>
        <w:jc w:val="left"/>
        <w:rPr>
          <w:rFonts w:ascii="宋体" w:hAnsi="宋体" w:cs="宋体"/>
          <w:sz w:val="28"/>
          <w:szCs w:val="28"/>
        </w:rPr>
      </w:pPr>
      <w:bookmarkStart w:id="373" w:name="_Toc1423"/>
      <w:bookmarkStart w:id="374" w:name="_Toc12556"/>
      <w:r>
        <w:rPr>
          <w:rFonts w:hint="eastAsia" w:ascii="宋体" w:hAnsi="宋体" w:cs="宋体"/>
          <w:sz w:val="28"/>
          <w:szCs w:val="28"/>
        </w:rPr>
        <w:t>3.8.2 总平面布置危险有害因素辨识与分析</w:t>
      </w:r>
      <w:bookmarkEnd w:id="373"/>
      <w:bookmarkEnd w:id="374"/>
    </w:p>
    <w:p>
      <w:pPr>
        <w:snapToGrid w:val="0"/>
        <w:spacing w:line="360" w:lineRule="auto"/>
        <w:ind w:firstLine="560" w:firstLineChars="200"/>
        <w:rPr>
          <w:sz w:val="28"/>
          <w:szCs w:val="28"/>
        </w:rPr>
      </w:pPr>
      <w:r>
        <w:rPr>
          <w:rFonts w:hint="eastAsia"/>
          <w:sz w:val="28"/>
          <w:szCs w:val="28"/>
        </w:rPr>
        <w:t>总平面布置可能对项目造成危害的主要是防火间距、风向、道路、采光、通风、布置等方面。本项目由于总平面布置不合理主要可能导致火灾、物体打击、机械伤害、车辆伤害、触电、坍塌等危险。引发事故的原因主要有：</w:t>
      </w:r>
    </w:p>
    <w:p>
      <w:pPr>
        <w:snapToGrid w:val="0"/>
        <w:spacing w:line="360" w:lineRule="auto"/>
        <w:ind w:firstLine="560" w:firstLineChars="200"/>
        <w:rPr>
          <w:sz w:val="28"/>
          <w:szCs w:val="28"/>
        </w:rPr>
      </w:pPr>
      <w:r>
        <w:rPr>
          <w:rFonts w:hint="eastAsia"/>
          <w:sz w:val="28"/>
          <w:szCs w:val="28"/>
        </w:rPr>
        <w:t>1．设备、设施安全通道预留不足，或相关通道阻塞，可导致设备检修、巡检不便，发生机械伤害、触电等类型事故。</w:t>
      </w:r>
    </w:p>
    <w:p>
      <w:pPr>
        <w:snapToGrid w:val="0"/>
        <w:spacing w:line="360" w:lineRule="auto"/>
        <w:ind w:firstLine="560" w:firstLineChars="200"/>
        <w:rPr>
          <w:sz w:val="28"/>
          <w:szCs w:val="28"/>
        </w:rPr>
      </w:pPr>
      <w:r>
        <w:rPr>
          <w:rFonts w:hint="eastAsia"/>
          <w:sz w:val="28"/>
          <w:szCs w:val="28"/>
        </w:rPr>
        <w:t>2．如建（构）筑物之间通道阻塞致使防火间距预留不足，如发生火灾等事故，可能导致事故范围和等级扩大。</w:t>
      </w:r>
    </w:p>
    <w:p>
      <w:pPr>
        <w:snapToGrid w:val="0"/>
        <w:spacing w:line="360" w:lineRule="auto"/>
        <w:ind w:firstLine="560" w:firstLineChars="200"/>
        <w:rPr>
          <w:sz w:val="28"/>
          <w:szCs w:val="28"/>
        </w:rPr>
      </w:pPr>
      <w:r>
        <w:rPr>
          <w:rFonts w:hint="eastAsia"/>
          <w:sz w:val="28"/>
          <w:szCs w:val="28"/>
        </w:rPr>
        <w:t>3．建（构）筑物朝向不合理，配电室采光、照明不足，视线不清，从而导致误操作，引发触电、火灾等事故的发生。</w:t>
      </w:r>
    </w:p>
    <w:p>
      <w:pPr>
        <w:snapToGrid w:val="0"/>
        <w:spacing w:line="360" w:lineRule="auto"/>
        <w:ind w:firstLine="560" w:firstLineChars="200"/>
        <w:rPr>
          <w:sz w:val="28"/>
          <w:szCs w:val="28"/>
        </w:rPr>
      </w:pPr>
      <w:r>
        <w:rPr>
          <w:rFonts w:hint="eastAsia"/>
          <w:sz w:val="28"/>
          <w:szCs w:val="28"/>
        </w:rPr>
        <w:t>4．各出入口处存在视线死角或宽度不足未设交通警示标志等，可能引发车辆伤害。</w:t>
      </w:r>
    </w:p>
    <w:p>
      <w:pPr>
        <w:snapToGrid w:val="0"/>
        <w:spacing w:line="360" w:lineRule="auto"/>
        <w:ind w:firstLine="560" w:firstLineChars="200"/>
        <w:rPr>
          <w:sz w:val="28"/>
          <w:szCs w:val="28"/>
        </w:rPr>
      </w:pPr>
      <w:r>
        <w:rPr>
          <w:rFonts w:hint="eastAsia"/>
          <w:sz w:val="28"/>
          <w:szCs w:val="28"/>
        </w:rPr>
        <w:t>5. 设备布置过于拥挤，作业区域空间狭小，未设防护挡板等可导致人员受到机械伤害，物体打击伤害。</w:t>
      </w:r>
    </w:p>
    <w:p>
      <w:pPr>
        <w:snapToGrid w:val="0"/>
        <w:spacing w:line="360" w:lineRule="auto"/>
        <w:ind w:firstLine="560" w:firstLineChars="200"/>
        <w:rPr>
          <w:sz w:val="28"/>
          <w:szCs w:val="28"/>
        </w:rPr>
      </w:pPr>
      <w:r>
        <w:rPr>
          <w:rFonts w:hint="eastAsia"/>
          <w:sz w:val="28"/>
          <w:szCs w:val="28"/>
        </w:rPr>
        <w:t>6. 空压机设置不合理，空压机房透风性差，若空压机停机导致供气不足致使设备突然停机容易造成机械伤害。</w:t>
      </w:r>
    </w:p>
    <w:p>
      <w:pPr>
        <w:snapToGrid w:val="0"/>
        <w:spacing w:line="360" w:lineRule="auto"/>
        <w:ind w:firstLine="560" w:firstLineChars="200"/>
        <w:rPr>
          <w:sz w:val="28"/>
          <w:szCs w:val="28"/>
        </w:rPr>
      </w:pPr>
      <w:r>
        <w:rPr>
          <w:rFonts w:hint="eastAsia"/>
          <w:sz w:val="28"/>
          <w:szCs w:val="28"/>
        </w:rPr>
        <w:t>7.运输车规划不合理，无固定等候车位等容易造成车辆伤害。</w:t>
      </w:r>
    </w:p>
    <w:p>
      <w:pPr>
        <w:snapToGrid w:val="0"/>
        <w:spacing w:line="360" w:lineRule="auto"/>
        <w:ind w:firstLine="560" w:firstLineChars="200"/>
        <w:rPr>
          <w:sz w:val="28"/>
          <w:szCs w:val="28"/>
        </w:rPr>
      </w:pPr>
      <w:r>
        <w:rPr>
          <w:rFonts w:hint="eastAsia"/>
          <w:sz w:val="28"/>
          <w:szCs w:val="28"/>
        </w:rPr>
        <w:t>8.各车间设置出入口数量至少需两个，出入口数量过少若发生事故无法满足安全撤离。</w:t>
      </w:r>
    </w:p>
    <w:p>
      <w:pPr>
        <w:pStyle w:val="4"/>
        <w:keepNext w:val="0"/>
        <w:keepLines w:val="0"/>
        <w:snapToGrid w:val="0"/>
        <w:spacing w:before="0" w:after="0" w:line="360" w:lineRule="auto"/>
        <w:jc w:val="left"/>
        <w:rPr>
          <w:rFonts w:hint="eastAsia" w:ascii="宋体" w:hAnsi="宋体" w:eastAsia="宋体" w:cs="宋体"/>
          <w:snapToGrid/>
          <w:kern w:val="2"/>
        </w:rPr>
      </w:pPr>
      <w:bookmarkStart w:id="375" w:name="_Toc236"/>
      <w:bookmarkStart w:id="376" w:name="_Toc15448"/>
      <w:bookmarkStart w:id="377" w:name="_Toc8019"/>
      <w:r>
        <w:rPr>
          <w:rFonts w:hint="eastAsia" w:ascii="宋体" w:hAnsi="宋体" w:eastAsia="宋体" w:cs="宋体"/>
          <w:snapToGrid/>
          <w:kern w:val="2"/>
        </w:rPr>
        <w:t>3.9</w:t>
      </w:r>
      <w:r>
        <w:rPr>
          <w:rFonts w:hint="eastAsia" w:ascii="宋体" w:hAnsi="宋体" w:cs="宋体"/>
          <w:snapToGrid/>
          <w:kern w:val="2"/>
          <w:lang w:val="en-US" w:eastAsia="zh-CN"/>
        </w:rPr>
        <w:t xml:space="preserve"> </w:t>
      </w:r>
      <w:r>
        <w:rPr>
          <w:rFonts w:hint="eastAsia" w:ascii="宋体" w:hAnsi="宋体" w:eastAsia="宋体" w:cs="宋体"/>
          <w:snapToGrid/>
          <w:kern w:val="2"/>
        </w:rPr>
        <w:t>有限空间辨识</w:t>
      </w:r>
      <w:bookmarkEnd w:id="375"/>
      <w:bookmarkEnd w:id="376"/>
      <w:bookmarkEnd w:id="377"/>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该项</w:t>
      </w:r>
      <w:r>
        <w:rPr>
          <w:rFonts w:hint="eastAsia" w:ascii="宋体" w:hAnsi="宋体" w:cs="宋体"/>
          <w:snapToGrid w:val="0"/>
          <w:kern w:val="0"/>
          <w:sz w:val="28"/>
          <w:szCs w:val="28"/>
          <w:highlight w:val="none"/>
        </w:rPr>
        <w:t>目切削液集中处理系统、喷</w:t>
      </w:r>
      <w:r>
        <w:rPr>
          <w:rFonts w:hint="eastAsia" w:ascii="宋体" w:hAnsi="宋体" w:cs="宋体"/>
          <w:snapToGrid w:val="0"/>
          <w:kern w:val="0"/>
          <w:sz w:val="28"/>
          <w:szCs w:val="28"/>
        </w:rPr>
        <w:t>漆室净化设备等系统处于有限空间内，人员进入有限空间内作业，可能发生中毒和窒息等事故：</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1.未对作业危险进行充分分析，未制定相应应急救援预案，未配备应急援救物资，未经过办证审批。</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2.进入有限空间作业人员未严格遵守“先通风、再检测、后作业”的原则。</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3.未对有限空间内气体采样分析或分析时间超过规定分析间隔时间。</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4.在有限空间内气体检测不合格的情况下进入其内作业。</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5.有限空间作业场所照明灯具未选用安全电压，引起人员触电。</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6.未设监护人员或监护人员脱岗，监护人员未配备与作业人员联络工具。</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7.未对作业人员进行培训教育或培训教育不合格作业。</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8.有限空间作业事故救援人员盲目施救，如：未佩戴防护用品、未采取通风、检测等安全措施等，可能导致事故扩大。</w:t>
      </w:r>
    </w:p>
    <w:p>
      <w:pPr>
        <w:pStyle w:val="4"/>
        <w:keepNext w:val="0"/>
        <w:keepLines w:val="0"/>
        <w:snapToGrid w:val="0"/>
        <w:spacing w:before="0" w:after="0" w:line="360" w:lineRule="auto"/>
        <w:jc w:val="left"/>
        <w:rPr>
          <w:rFonts w:ascii="宋体" w:hAnsi="宋体" w:cs="宋体"/>
          <w:snapToGrid/>
          <w:kern w:val="2"/>
        </w:rPr>
      </w:pPr>
      <w:bookmarkStart w:id="378" w:name="_Toc22521"/>
      <w:bookmarkStart w:id="379" w:name="_Toc56685736"/>
      <w:bookmarkStart w:id="380" w:name="_Toc502479918"/>
      <w:bookmarkStart w:id="381" w:name="_Toc527470762"/>
      <w:bookmarkStart w:id="382" w:name="_Toc525114887"/>
      <w:bookmarkStart w:id="383" w:name="_Toc2936"/>
      <w:r>
        <w:rPr>
          <w:rFonts w:hint="eastAsia" w:ascii="宋体" w:hAnsi="宋体" w:cs="宋体"/>
          <w:snapToGrid/>
          <w:kern w:val="2"/>
        </w:rPr>
        <w:t>3.</w:t>
      </w:r>
      <w:bookmarkStart w:id="384" w:name="_Toc218066702"/>
      <w:bookmarkStart w:id="385" w:name="_Toc198299617"/>
      <w:bookmarkStart w:id="386" w:name="_Toc301424569"/>
      <w:bookmarkStart w:id="387" w:name="_Toc487575281"/>
      <w:bookmarkStart w:id="388" w:name="_Toc14748"/>
      <w:r>
        <w:rPr>
          <w:rFonts w:hint="eastAsia" w:ascii="宋体" w:hAnsi="宋体" w:cs="宋体"/>
          <w:snapToGrid/>
          <w:kern w:val="2"/>
        </w:rPr>
        <w:t>10 主要危险、有害因素分布</w:t>
      </w:r>
      <w:bookmarkEnd w:id="378"/>
      <w:bookmarkEnd w:id="379"/>
      <w:bookmarkEnd w:id="380"/>
      <w:bookmarkEnd w:id="381"/>
      <w:bookmarkEnd w:id="382"/>
      <w:bookmarkEnd w:id="384"/>
      <w:bookmarkEnd w:id="385"/>
      <w:bookmarkEnd w:id="386"/>
      <w:bookmarkEnd w:id="387"/>
      <w:bookmarkEnd w:id="388"/>
    </w:p>
    <w:p>
      <w:pPr>
        <w:snapToGrid w:val="0"/>
        <w:spacing w:line="360" w:lineRule="auto"/>
        <w:ind w:firstLine="560" w:firstLineChars="200"/>
        <w:rPr>
          <w:sz w:val="28"/>
          <w:szCs w:val="28"/>
        </w:rPr>
      </w:pPr>
      <w:r>
        <w:rPr>
          <w:rFonts w:hint="eastAsia"/>
          <w:sz w:val="28"/>
          <w:szCs w:val="28"/>
        </w:rPr>
        <w:t>通过危险、有害因素辨识分析可知，该项目生产过程中的主要危险、有害因素有：火灾爆炸、中毒窒息、机械伤害、车辆伤害、触电、物体打击、高处坠落、噪声、雷电危害、坍塌等危险有害因素。其主要分布的场所见下表。</w:t>
      </w:r>
    </w:p>
    <w:p>
      <w:pPr>
        <w:autoSpaceDE w:val="0"/>
        <w:autoSpaceDN w:val="0"/>
        <w:snapToGrid w:val="0"/>
        <w:spacing w:line="500" w:lineRule="exact"/>
        <w:ind w:firstLine="480" w:firstLineChars="200"/>
        <w:jc w:val="center"/>
        <w:rPr>
          <w:rFonts w:ascii="宋体" w:hAnsi="宋体" w:cs="宋体"/>
          <w:bCs/>
          <w:snapToGrid w:val="0"/>
          <w:sz w:val="24"/>
        </w:rPr>
      </w:pPr>
      <w:r>
        <w:rPr>
          <w:rFonts w:hint="eastAsia" w:ascii="宋体" w:hAnsi="宋体" w:cs="宋体"/>
          <w:bCs/>
          <w:snapToGrid w:val="0"/>
          <w:sz w:val="24"/>
        </w:rPr>
        <w:t>表3-7 主要危险、有害因素分布表</w:t>
      </w:r>
    </w:p>
    <w:tbl>
      <w:tblPr>
        <w:tblStyle w:val="52"/>
        <w:tblW w:w="9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42"/>
        <w:gridCol w:w="1815"/>
        <w:gridCol w:w="2744"/>
        <w:gridCol w:w="3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序</w:t>
            </w:r>
          </w:p>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号</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危险</w:t>
            </w:r>
          </w:p>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因素</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主要存在</w:t>
            </w:r>
          </w:p>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部位/作业</w:t>
            </w:r>
          </w:p>
        </w:tc>
        <w:tc>
          <w:tcPr>
            <w:tcW w:w="2744"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产 生 的 原 因</w:t>
            </w:r>
          </w:p>
        </w:tc>
        <w:tc>
          <w:tcPr>
            <w:tcW w:w="3771"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center"/>
              <w:textAlignment w:val="baseline"/>
              <w:rPr>
                <w:rFonts w:ascii="宋体" w:hAnsi="宋体"/>
                <w:b/>
                <w:sz w:val="24"/>
              </w:rPr>
            </w:pPr>
            <w:r>
              <w:rPr>
                <w:rFonts w:hint="eastAsia" w:ascii="宋体" w:hAnsi="宋体"/>
                <w:b/>
                <w:sz w:val="24"/>
              </w:rPr>
              <w:t>防 范 措 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1</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kern w:val="0"/>
                <w:sz w:val="24"/>
              </w:rPr>
              <w:t>机械伤害</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jc w:val="left"/>
              <w:textAlignment w:val="baseline"/>
              <w:rPr>
                <w:rFonts w:ascii="宋体" w:hAnsi="宋体"/>
                <w:kern w:val="0"/>
                <w:sz w:val="24"/>
              </w:rPr>
            </w:pPr>
            <w:r>
              <w:rPr>
                <w:rFonts w:hint="eastAsia" w:ascii="宋体" w:hAnsi="宋体"/>
                <w:kern w:val="0"/>
                <w:sz w:val="24"/>
              </w:rPr>
              <w:t>磨床、水泵、空压机、辊式输送机等，在生产、加工等工艺过程中。</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1.在操作、检查、维修设备时，未严格遵守操作规程；</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 xml:space="preserve">2.工作时注意力不集中； </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 xml:space="preserve">3.机械旋转部分缺少防护罩； </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4.进行设备检修作业时，电源未切断，他人误起动设备；</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5.劳保用品未正确穿戴。</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1.严格遵守有关操作规程；</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2.正确穿戴劳保用品；</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3.集中注意力，工作时注意观察；</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4.运动部位应有防护罩；</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5.危险场地周围应设防护栏；</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6.机器设备要定期检查、检修，保证其完好状态；</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7.进行设备检修作业，要严格执行设备检修作业的管理规定，采取相应安全措施。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2</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火灾</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爆炸</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1.火灾：汽油、油漆等易燃物的储存及使用；配电室、电气线路等。</w:t>
            </w:r>
          </w:p>
          <w:p>
            <w:pPr>
              <w:overflowPunct w:val="0"/>
              <w:autoSpaceDE w:val="0"/>
              <w:autoSpaceDN w:val="0"/>
              <w:adjustRightInd w:val="0"/>
              <w:snapToGrid w:val="0"/>
              <w:jc w:val="left"/>
              <w:textAlignment w:val="baseline"/>
              <w:rPr>
                <w:rFonts w:ascii="宋体" w:hAnsi="宋体"/>
                <w:color w:val="000000"/>
                <w:sz w:val="24"/>
              </w:rPr>
            </w:pPr>
            <w:r>
              <w:rPr>
                <w:rFonts w:hint="eastAsia" w:ascii="宋体" w:hAnsi="宋体"/>
                <w:sz w:val="24"/>
              </w:rPr>
              <w:t>2.爆炸：汽油蒸汽、油漆挥发出来的甲苯、二甲苯等有机溶剂与空气混合形成爆炸性气体，混合物遇火星产生爆炸以及使用的气瓶发爆炸。</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1.易燃易爆场所电器不防爆、作业工具不符合安全要求、违章动火用火；</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2.易燃易爆物品储存、使用场所不符合安全要求；</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3.在对易燃易爆物质储存、输送设备、管道进行检修作业时未进行吹扫置换；</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4.在易燃、易爆区域内违章动火、吸烟；</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5.电器线路老化短路着火。</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1.易燃易爆场所电器应符合防爆要求；</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2.严格执行动火作业票制度，作业时采取有效防范措施；</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3.加强电气线路及设备的检查、维护，防止出现电器火灾；</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4、防雷、防静电设施按期进行检测。</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5.加强对职工进行有关的安全教育。</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6.加强安全检查和安全管理工作。</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7.加强气瓶的管理及使用。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3</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中毒和窒息</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油漆（含有甲苯、二甲苯成分）等作业岗位。</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1.产生有毒气体的作业岗位，通风不良；</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2.进入有毒区域作业未穿戴防护用。</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1．加强有害区域的强制抽风；</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2．正确穿戴相应劳动保护用品。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5"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4</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触电（包括雷击）</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1.变压器室、配电室、控制室、充电站、移动电气设备、照明线路及照明器具；</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2.高大设备、设施和建筑物附近。</w:t>
            </w:r>
          </w:p>
        </w:tc>
        <w:tc>
          <w:tcPr>
            <w:tcW w:w="2744"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1.违章作业或线路老化；</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2.高压用电设备绝缘失效；</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3.电气线路、设备设计上的不合理，选型不合理、安装上存在缺陷、超负荷使用；</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4.未装设漏电保护装置或漏电保护装置失效；5.电气设备漏电造成人体与带电体直接接触或人体接近带高压电体，使人体流过超过承受阈值的电流而造成的伤害;</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6.无防雷接地保护系统；</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7.防雷接地保护系统失效。</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 xml:space="preserve">1.按规定设备、线路采用与电压相符，使用与环境和运行条件相适应的绝缘体，并定期检查、维修，保持完好状态； </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 xml:space="preserve">2.使用有足够机械强度和耐火性能的材料，采用遮栏、护罩、护盖、箱匣等防护装置，将带电体同外界隔绝开来，防止人体接近或触及带电体； </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 xml:space="preserve">3.根据要求对用电设备做好保护接地或保护接零； </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4.设备维护、检修时照明应采用安全电压，并要有现场监护；</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5.根据作业场所要求正确选择手持电动工具，并做到安全可靠；</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6.建立和健全并严格执行电气安全规章制度和安全操作规程；</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7.严格执行电气作业票制度；</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8.定期对防雷、防静电设施进行检查。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5</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kern w:val="0"/>
                <w:sz w:val="24"/>
              </w:rPr>
              <w:t>容器爆炸</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压缩空气储罐。</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1.压力容器有质量缺陷或超压、超期使用；</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2.安全附件失效或使用不当；</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3.作业人员未持证上岗；</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4.违返操作规程。</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1.压力容器等特种设备必须由有相应资质的单位进行设计、制造和安装、充装；</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2.必须按规定进行定期检验；</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3.安全附件必须完好有效，按规定进行定期检验（检定）；</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4.特种作业人员必须持证上岗；</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5.严格遵守操作规程，严格遵守工艺纪律，杜绝违章作业。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6</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车辆</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伤害</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运输车辆（叉车）移动。</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1.车辆有故障；</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2.超速；</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3.道路无防止车辆撞击设施；</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4.路况、照明等不佳； 5.超载驾驶、违章驾驶，车况不良。</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1.非经许可厂内应禁止车辆入内；</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2.完善交通标志（包括限速行驾标志）；</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3.保持路况良好、有充足照明；</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4.驾驶员遵守交通规则，不违章行驶；</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5.加强对驾驶员的教育和管理；</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6.不超载、超速行驶；</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7.车辆保证完好状态。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7</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高处</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坠落</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在基准高度高于2m的各种设备、设施、建筑物上作业的岗位。</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1.未落实高处作业的各项安全措施就进行作业；</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2.作业现场的安全防护措施失效。</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1.登高作业人员必须严格执行“十不登高”；</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2.登高作业人员必须戴好安全帽，系挂好安全带，穿好防滑鞋紧身工作服；</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3.搭设脚手架等防坠落措施；</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4.在高空人行道、屋顶、塔杆以及其它危险的高处临时作业，要装设防护栏杆或安全网；</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5.对平台、栏杆、护墙以及安全带、安全网等要定期检查，确保完好。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8</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kern w:val="0"/>
                <w:sz w:val="24"/>
              </w:rPr>
            </w:pPr>
            <w:r>
              <w:rPr>
                <w:rFonts w:hint="eastAsia" w:ascii="宋体" w:hAnsi="宋体"/>
                <w:kern w:val="0"/>
                <w:sz w:val="24"/>
              </w:rPr>
              <w:t>坍塌</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建筑物、钢结构。</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建（构）筑物、钢结构件等若强度、刚性不足，或质量存在缺陷。</w:t>
            </w:r>
          </w:p>
        </w:tc>
        <w:tc>
          <w:tcPr>
            <w:tcW w:w="3771"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对建构筑物、钢结构不能对其有碰撞及任意损害的现象出现。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589" w:type="dxa"/>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9</w:t>
            </w:r>
          </w:p>
        </w:tc>
        <w:tc>
          <w:tcPr>
            <w:tcW w:w="74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kern w:val="0"/>
                <w:sz w:val="24"/>
              </w:rPr>
            </w:pPr>
            <w:r>
              <w:rPr>
                <w:rFonts w:hint="eastAsia" w:ascii="宋体" w:hAnsi="宋体"/>
                <w:kern w:val="0"/>
                <w:sz w:val="24"/>
              </w:rPr>
              <w:t>噪声</w:t>
            </w:r>
          </w:p>
        </w:tc>
        <w:tc>
          <w:tcPr>
            <w:tcW w:w="1815"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kern w:val="0"/>
                <w:sz w:val="24"/>
              </w:rPr>
              <w:t>噪声比较大的机械设备（空压机、磨床等）。</w:t>
            </w:r>
          </w:p>
        </w:tc>
        <w:tc>
          <w:tcPr>
            <w:tcW w:w="2744" w:type="dxa"/>
            <w:tcBorders>
              <w:top w:val="single" w:color="auto" w:sz="4" w:space="0"/>
              <w:left w:val="nil"/>
              <w:bottom w:val="single" w:color="auto" w:sz="4" w:space="0"/>
              <w:right w:val="single" w:color="auto" w:sz="4" w:space="0"/>
            </w:tcBorders>
            <w:noWrap/>
            <w:vAlign w:val="center"/>
          </w:tcPr>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1.违章作业；</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2.机械设备故障；</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3.未佩戴相应的劳动防护用品。</w:t>
            </w:r>
          </w:p>
          <w:p>
            <w:pPr>
              <w:widowControl/>
              <w:overflowPunct w:val="0"/>
              <w:autoSpaceDE w:val="0"/>
              <w:autoSpaceDN w:val="0"/>
              <w:adjustRightInd w:val="0"/>
              <w:snapToGrid w:val="0"/>
              <w:jc w:val="left"/>
              <w:textAlignment w:val="baseline"/>
              <w:rPr>
                <w:rFonts w:ascii="宋体" w:hAnsi="宋体"/>
                <w:sz w:val="24"/>
              </w:rPr>
            </w:pPr>
            <w:r>
              <w:rPr>
                <w:rFonts w:hint="eastAsia" w:ascii="宋体" w:hAnsi="宋体"/>
                <w:sz w:val="24"/>
              </w:rPr>
              <w:t>4.安全防护设施缺失。</w:t>
            </w:r>
          </w:p>
        </w:tc>
        <w:tc>
          <w:tcPr>
            <w:tcW w:w="3771"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1.定期对设备设施进行检查、维护。</w:t>
            </w:r>
          </w:p>
          <w:p>
            <w:pPr>
              <w:overflowPunct w:val="0"/>
              <w:autoSpaceDE w:val="0"/>
              <w:autoSpaceDN w:val="0"/>
              <w:adjustRightInd w:val="0"/>
              <w:snapToGrid w:val="0"/>
              <w:jc w:val="left"/>
              <w:textAlignment w:val="baseline"/>
              <w:rPr>
                <w:rFonts w:ascii="宋体" w:hAnsi="宋体"/>
                <w:sz w:val="24"/>
              </w:rPr>
            </w:pPr>
            <w:r>
              <w:rPr>
                <w:rFonts w:hint="eastAsia" w:ascii="宋体" w:hAnsi="宋体"/>
                <w:sz w:val="24"/>
              </w:rPr>
              <w:t>2.佩戴相应的劳动防护用品。</w:t>
            </w:r>
          </w:p>
        </w:tc>
      </w:tr>
    </w:tbl>
    <w:p/>
    <w:p>
      <w:pPr>
        <w:pStyle w:val="4"/>
        <w:keepNext w:val="0"/>
        <w:keepLines w:val="0"/>
        <w:snapToGrid w:val="0"/>
        <w:spacing w:before="0" w:after="0" w:line="360" w:lineRule="auto"/>
        <w:jc w:val="left"/>
        <w:rPr>
          <w:rFonts w:hint="eastAsia" w:ascii="宋体" w:hAnsi="宋体" w:cs="宋体"/>
          <w:snapToGrid/>
          <w:kern w:val="2"/>
          <w:lang w:val="en-US" w:eastAsia="zh-CN"/>
        </w:rPr>
      </w:pPr>
      <w:bookmarkStart w:id="389" w:name="_Toc10917"/>
      <w:r>
        <w:rPr>
          <w:rFonts w:hint="eastAsia" w:ascii="宋体" w:hAnsi="宋体" w:cs="宋体"/>
          <w:snapToGrid/>
          <w:kern w:val="2"/>
          <w:lang w:val="en-US" w:eastAsia="zh-CN"/>
        </w:rPr>
        <w:t>3.11 典型事故案例</w:t>
      </w:r>
      <w:bookmarkEnd w:id="389"/>
    </w:p>
    <w:p>
      <w:pPr>
        <w:pStyle w:val="5"/>
        <w:keepNext w:val="0"/>
        <w:keepLines w:val="0"/>
        <w:snapToGrid w:val="0"/>
        <w:spacing w:before="0" w:after="0" w:line="360" w:lineRule="auto"/>
        <w:jc w:val="left"/>
        <w:rPr>
          <w:rFonts w:hint="default" w:ascii="宋体" w:hAnsi="宋体" w:eastAsia="宋体" w:cs="宋体"/>
          <w:sz w:val="28"/>
          <w:szCs w:val="28"/>
          <w:lang w:val="en-US" w:eastAsia="zh-CN"/>
        </w:rPr>
      </w:pPr>
      <w:bookmarkStart w:id="390" w:name="_Toc20857"/>
      <w:r>
        <w:rPr>
          <w:rFonts w:hint="eastAsia" w:ascii="宋体" w:hAnsi="宋体" w:eastAsia="宋体" w:cs="宋体"/>
          <w:sz w:val="28"/>
          <w:szCs w:val="28"/>
          <w:lang w:val="en-US" w:eastAsia="zh-CN"/>
        </w:rPr>
        <w:t>3.11.1 机械伤害事故</w:t>
      </w:r>
      <w:bookmarkEnd w:id="390"/>
    </w:p>
    <w:p>
      <w:pPr>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1.事故发生经过</w:t>
      </w:r>
    </w:p>
    <w:p>
      <w:pPr>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事故调查组通过查看监控录像、事后现场勘察和相关人员的调查询问，基本还原事故发生经过：</w:t>
      </w:r>
    </w:p>
    <w:p>
      <w:pPr>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2021年3月10日下午，欣豪机械公司员工罗林操作车床对辊筒轴头进行切削作业，15时25分左右，罗林基本完成辊筒端轴头的切削作业。15时27分45秒，罗林在未将车床完全停止的情况下，伸手触摸旋转的工件，导致其手套（见图2）以及衣物（见图3）被卷入车床，罗林头部与颈部被甩到车床导轨上并失去意识。</w:t>
      </w:r>
    </w:p>
    <w:p>
      <w:pPr>
        <w:snapToGrid w:val="0"/>
        <w:spacing w:line="360" w:lineRule="auto"/>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2.事故发生原因</w:t>
      </w:r>
    </w:p>
    <w:p>
      <w:pPr>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（一）直接原因</w:t>
      </w:r>
    </w:p>
    <w:p>
      <w:pPr>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罗林安全意识淡薄，违反《金属切削加工安全要求》第5.9.2条[1]、第7.1条[2]的规定，在车床卡盘、工件运转过程中，将手伸入工件旋转的工作区域，导致所佩戴的手套及衣物被卷入、头部与颈部被甩到车床导轨上并失去意识，是事故发生的直接原因。</w:t>
      </w:r>
    </w:p>
    <w:p>
      <w:pPr>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（二）间接原因</w:t>
      </w:r>
    </w:p>
    <w:p>
      <w:pPr>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欣豪机械公司未建立相关安全生产管理制度，未对罗林进行安全生产教育和培训，欣豪机械公司负责人王瑜本未及时发现并制止罗林违规佩戴手套操作车床的行为，是事故发生的重要原因。孙端街道办事处未切实履行属地监管责任，未及时发现并督促欣豪机械公司排除生产安全事故隐患，也是本事故发生的原因之一。</w:t>
      </w:r>
    </w:p>
    <w:p>
      <w:pPr>
        <w:pStyle w:val="5"/>
        <w:keepNext w:val="0"/>
        <w:keepLines w:val="0"/>
        <w:snapToGrid w:val="0"/>
        <w:spacing w:before="0" w:after="0" w:line="360" w:lineRule="auto"/>
        <w:jc w:val="left"/>
        <w:rPr>
          <w:rFonts w:hint="eastAsia" w:ascii="宋体" w:hAnsi="宋体" w:eastAsia="宋体" w:cs="宋体"/>
          <w:sz w:val="28"/>
          <w:szCs w:val="28"/>
          <w:lang w:val="en-US" w:eastAsia="zh-CN"/>
        </w:rPr>
      </w:pPr>
      <w:bookmarkStart w:id="391" w:name="_Toc614"/>
      <w:r>
        <w:rPr>
          <w:rFonts w:hint="eastAsia" w:ascii="宋体" w:hAnsi="宋体" w:eastAsia="宋体" w:cs="宋体"/>
          <w:sz w:val="28"/>
          <w:szCs w:val="28"/>
          <w:lang w:val="en-US" w:eastAsia="zh-CN"/>
        </w:rPr>
        <w:t>3.11.2 事故经验教训</w:t>
      </w:r>
      <w:bookmarkEnd w:id="391"/>
    </w:p>
    <w:p>
      <w:pPr>
        <w:snapToGrid w:val="0"/>
        <w:spacing w:line="360" w:lineRule="auto"/>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员工安全管理意识相对薄弱机械制造企业员工安全生产管理意识相当薄弱是导致安全问题产生的一个重要的因素</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应加强对员工的安全教育培训，将安全教育管理体系落实到实处，消除隐患，强化责任，</w:t>
      </w:r>
      <w:r>
        <w:rPr>
          <w:rFonts w:hint="eastAsia" w:ascii="Times New Roman" w:hAnsi="Times New Roman" w:eastAsia="宋体" w:cs="Times New Roman"/>
          <w:sz w:val="28"/>
          <w:szCs w:val="28"/>
        </w:rPr>
        <w:t>更好地提高安全意识和安全设计的技术水平</w:t>
      </w:r>
      <w:r>
        <w:rPr>
          <w:rFonts w:hint="eastAsia" w:ascii="Times New Roman" w:hAnsi="Times New Roman" w:eastAsia="宋体" w:cs="Times New Roman"/>
          <w:sz w:val="28"/>
          <w:szCs w:val="28"/>
          <w:lang w:eastAsia="zh-CN"/>
        </w:rPr>
        <w:t>。</w:t>
      </w:r>
    </w:p>
    <w:p>
      <w:pPr>
        <w:pStyle w:val="4"/>
        <w:keepNext w:val="0"/>
        <w:keepLines w:val="0"/>
        <w:snapToGrid w:val="0"/>
        <w:spacing w:before="0" w:after="0" w:line="360" w:lineRule="auto"/>
        <w:jc w:val="left"/>
        <w:rPr>
          <w:rFonts w:ascii="宋体" w:hAnsi="宋体" w:cs="宋体"/>
          <w:snapToGrid/>
          <w:kern w:val="2"/>
        </w:rPr>
      </w:pPr>
      <w:bookmarkStart w:id="392" w:name="_Toc14740"/>
      <w:r>
        <w:rPr>
          <w:rFonts w:hint="eastAsia" w:ascii="宋体" w:hAnsi="宋体" w:cs="宋体"/>
          <w:snapToGrid/>
          <w:kern w:val="2"/>
        </w:rPr>
        <w:t>3.1</w:t>
      </w:r>
      <w:r>
        <w:rPr>
          <w:rFonts w:hint="eastAsia" w:ascii="宋体" w:hAnsi="宋体" w:cs="宋体"/>
          <w:snapToGrid/>
          <w:kern w:val="2"/>
          <w:lang w:val="en-US" w:eastAsia="zh-CN"/>
        </w:rPr>
        <w:t xml:space="preserve">2 </w:t>
      </w:r>
      <w:r>
        <w:rPr>
          <w:rFonts w:hint="eastAsia" w:ascii="宋体" w:hAnsi="宋体" w:cs="宋体"/>
          <w:snapToGrid/>
          <w:kern w:val="2"/>
        </w:rPr>
        <w:t>重大危险源辨识</w:t>
      </w:r>
      <w:bookmarkEnd w:id="383"/>
      <w:bookmarkEnd w:id="392"/>
    </w:p>
    <w:p>
      <w:pPr>
        <w:pStyle w:val="5"/>
        <w:keepNext w:val="0"/>
        <w:keepLines w:val="0"/>
        <w:snapToGrid w:val="0"/>
        <w:spacing w:before="0" w:after="0" w:line="360" w:lineRule="auto"/>
        <w:jc w:val="left"/>
        <w:rPr>
          <w:rFonts w:ascii="宋体" w:hAnsi="宋体" w:cs="宋体"/>
          <w:sz w:val="28"/>
          <w:szCs w:val="28"/>
        </w:rPr>
      </w:pPr>
      <w:bookmarkStart w:id="393" w:name="_Toc5477450"/>
      <w:bookmarkStart w:id="394" w:name="_Toc42679924"/>
      <w:bookmarkStart w:id="395" w:name="_Toc5477080"/>
      <w:bookmarkStart w:id="396" w:name="_Toc18331"/>
      <w:bookmarkStart w:id="397" w:name="_Toc489367702"/>
      <w:r>
        <w:rPr>
          <w:rFonts w:hint="eastAsia" w:ascii="宋体" w:hAnsi="宋体" w:cs="宋体"/>
          <w:sz w:val="28"/>
          <w:szCs w:val="28"/>
        </w:rPr>
        <w:t>3.1</w:t>
      </w:r>
      <w:r>
        <w:rPr>
          <w:rFonts w:hint="eastAsia" w:ascii="宋体" w:hAnsi="宋体" w:cs="宋体"/>
          <w:sz w:val="28"/>
          <w:szCs w:val="28"/>
          <w:lang w:val="en-US" w:eastAsia="zh-CN"/>
        </w:rPr>
        <w:t>2</w:t>
      </w:r>
      <w:r>
        <w:rPr>
          <w:rFonts w:hint="eastAsia" w:ascii="宋体" w:hAnsi="宋体" w:cs="宋体"/>
          <w:sz w:val="28"/>
          <w:szCs w:val="28"/>
        </w:rPr>
        <w:t>.1 方法介绍</w:t>
      </w:r>
      <w:bookmarkEnd w:id="393"/>
      <w:bookmarkEnd w:id="394"/>
      <w:bookmarkEnd w:id="395"/>
      <w:bookmarkEnd w:id="396"/>
      <w:bookmarkEnd w:id="397"/>
    </w:p>
    <w:p>
      <w:pPr>
        <w:snapToGrid w:val="0"/>
        <w:spacing w:line="360" w:lineRule="auto"/>
        <w:ind w:firstLine="560" w:firstLineChars="200"/>
        <w:rPr>
          <w:sz w:val="28"/>
          <w:szCs w:val="28"/>
        </w:rPr>
      </w:pPr>
      <w:r>
        <w:rPr>
          <w:rFonts w:hint="eastAsia"/>
          <w:sz w:val="28"/>
          <w:szCs w:val="28"/>
        </w:rPr>
        <w:t>长期地或临时地生产、储存、使用和经营危险化学品，且危险化学品的数量等于或超过临界量的单元均为危险化学品重大危险源。其中单元分为生产单元及存储单元，生产单元是指危险化学品的生产、加工及使用等的装置及设施，当装置及设施之间有切断阀作分隔界限划分为独立的单元。储存单元为用于储存的危险化学品的储罐或仓库组成的相对独立的区域，储罐区以罐区的防火堤为界限划分为独立的单元，仓库以独立库房（独立建筑物）为界限划分为独立的单元。</w:t>
      </w:r>
    </w:p>
    <w:p>
      <w:pPr>
        <w:snapToGrid w:val="0"/>
        <w:spacing w:line="360" w:lineRule="auto"/>
        <w:ind w:firstLine="560" w:firstLineChars="200"/>
        <w:rPr>
          <w:sz w:val="28"/>
          <w:szCs w:val="28"/>
        </w:rPr>
      </w:pPr>
      <w:r>
        <w:rPr>
          <w:rFonts w:hint="eastAsia"/>
          <w:sz w:val="28"/>
          <w:szCs w:val="28"/>
        </w:rPr>
        <w:t>危险化学品重大危险源的辨识依据是危险化学品的危险特性及其数量，在《危险化学品重大危险源辨识》（GB18218-2018）中规定了临界量，生产单元、储存单元内存在的危险化学品的数量等于或超过《危险化学品重大危险源辨识》（GB18218-2018）表1、表2规定的临界量，即被定为重大危险源。单元内存在的危险化学品的数量根据危险化学品种类的多少区分为以下两种情况：</w:t>
      </w:r>
    </w:p>
    <w:p>
      <w:pPr>
        <w:snapToGrid w:val="0"/>
        <w:spacing w:line="360" w:lineRule="auto"/>
        <w:ind w:firstLine="560" w:firstLineChars="200"/>
        <w:rPr>
          <w:sz w:val="28"/>
          <w:szCs w:val="28"/>
        </w:rPr>
      </w:pPr>
      <w:r>
        <w:rPr>
          <w:rFonts w:hint="eastAsia"/>
          <w:sz w:val="28"/>
          <w:szCs w:val="28"/>
        </w:rPr>
        <w:t>1．生产单元、存储单元内存在的危险化学品为单一品种，该危险化学品的数量即为单元内危险化学品的总量，若等于或超过相应的临界量，则定为重大危险源。</w:t>
      </w:r>
    </w:p>
    <w:p>
      <w:pPr>
        <w:snapToGrid w:val="0"/>
        <w:spacing w:line="360" w:lineRule="auto"/>
        <w:ind w:firstLine="560" w:firstLineChars="200"/>
        <w:rPr>
          <w:sz w:val="28"/>
          <w:szCs w:val="28"/>
        </w:rPr>
      </w:pPr>
      <w:r>
        <w:rPr>
          <w:rFonts w:hint="eastAsia"/>
          <w:sz w:val="28"/>
          <w:szCs w:val="28"/>
        </w:rPr>
        <w:t>2．生产单元、存储单元内存在的危险化学品为多品种时，则按下式计算，若满足下面公式，则定为重大危险源：</w:t>
      </w:r>
    </w:p>
    <w:p>
      <w:pPr>
        <w:adjustRightInd w:val="0"/>
        <w:snapToGrid w:val="0"/>
        <w:jc w:val="center"/>
        <w:rPr>
          <w:rFonts w:ascii="宋体" w:hAnsi="宋体" w:cs="宋体"/>
          <w:sz w:val="24"/>
        </w:rPr>
      </w:pPr>
      <w:r>
        <w:rPr>
          <w:rFonts w:hint="eastAsia" w:ascii="宋体" w:hAnsi="宋体" w:cs="宋体"/>
          <w:sz w:val="24"/>
        </w:rPr>
        <w:t>S=</w:t>
      </w:r>
      <w:r>
        <w:rPr>
          <w:rFonts w:ascii="宋体" w:hAnsi="宋体" w:cs="宋体"/>
          <w:position w:val="-30"/>
          <w:sz w:val="24"/>
        </w:rPr>
        <w:drawing>
          <wp:inline distT="0" distB="0" distL="114300" distR="114300">
            <wp:extent cx="809625" cy="447675"/>
            <wp:effectExtent l="0" t="0" r="0"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1"/>
                    <a:stretch>
                      <a:fillRect/>
                    </a:stretch>
                  </pic:blipFill>
                  <pic:spPr>
                    <a:xfrm>
                      <a:off x="0" y="0"/>
                      <a:ext cx="809625" cy="447675"/>
                    </a:xfrm>
                    <a:prstGeom prst="rect">
                      <a:avLst/>
                    </a:prstGeom>
                    <a:noFill/>
                    <a:ln>
                      <a:noFill/>
                    </a:ln>
                  </pic:spPr>
                </pic:pic>
              </a:graphicData>
            </a:graphic>
          </wp:inline>
        </w:drawing>
      </w:r>
      <w:r>
        <w:rPr>
          <w:rFonts w:ascii="宋体" w:hAnsi="宋体" w:cs="宋体"/>
          <w:sz w:val="24"/>
        </w:rPr>
        <w:t>……＋</w:t>
      </w:r>
      <w:r>
        <w:rPr>
          <w:rFonts w:ascii="宋体" w:hAnsi="宋体" w:cs="宋体"/>
          <w:position w:val="-26"/>
          <w:sz w:val="24"/>
        </w:rPr>
        <w:drawing>
          <wp:inline distT="0" distB="0" distL="114300" distR="114300">
            <wp:extent cx="231775" cy="419735"/>
            <wp:effectExtent l="0" t="0" r="0" b="1841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2"/>
                    <a:stretch>
                      <a:fillRect/>
                    </a:stretch>
                  </pic:blipFill>
                  <pic:spPr>
                    <a:xfrm>
                      <a:off x="0" y="0"/>
                      <a:ext cx="231775" cy="419735"/>
                    </a:xfrm>
                    <a:prstGeom prst="rect">
                      <a:avLst/>
                    </a:prstGeom>
                    <a:noFill/>
                    <a:ln>
                      <a:noFill/>
                    </a:ln>
                  </pic:spPr>
                </pic:pic>
              </a:graphicData>
            </a:graphic>
          </wp:inline>
        </w:drawing>
      </w:r>
      <w:r>
        <w:rPr>
          <w:rFonts w:hint="eastAsia" w:ascii="宋体" w:hAnsi="宋体" w:cs="宋体"/>
          <w:sz w:val="24"/>
        </w:rPr>
        <w:t>≥</w:t>
      </w:r>
      <w:r>
        <w:rPr>
          <w:rFonts w:ascii="宋体" w:hAnsi="宋体" w:cs="宋体"/>
          <w:sz w:val="24"/>
        </w:rPr>
        <w:t>1</w:t>
      </w:r>
    </w:p>
    <w:p>
      <w:pPr>
        <w:snapToGrid w:val="0"/>
        <w:spacing w:line="360" w:lineRule="auto"/>
        <w:ind w:firstLine="560" w:firstLineChars="200"/>
        <w:rPr>
          <w:sz w:val="28"/>
          <w:szCs w:val="28"/>
        </w:rPr>
      </w:pPr>
      <w:r>
        <w:rPr>
          <w:rFonts w:hint="eastAsia"/>
          <w:sz w:val="28"/>
          <w:szCs w:val="28"/>
        </w:rPr>
        <w:t>式中：S—标识指标</w:t>
      </w:r>
    </w:p>
    <w:p>
      <w:pPr>
        <w:snapToGrid w:val="0"/>
        <w:spacing w:line="360" w:lineRule="auto"/>
        <w:ind w:firstLine="560" w:firstLineChars="200"/>
        <w:rPr>
          <w:sz w:val="28"/>
          <w:szCs w:val="28"/>
        </w:rPr>
      </w:pPr>
      <w:r>
        <w:rPr>
          <w:rFonts w:hint="eastAsia"/>
          <w:sz w:val="28"/>
          <w:szCs w:val="28"/>
        </w:rPr>
        <w:t>q1，q2……qn——每种危险化学品实际存在量，t。</w:t>
      </w:r>
    </w:p>
    <w:p>
      <w:pPr>
        <w:snapToGrid w:val="0"/>
        <w:spacing w:line="360" w:lineRule="auto"/>
        <w:ind w:firstLine="560" w:firstLineChars="200"/>
        <w:rPr>
          <w:sz w:val="28"/>
          <w:szCs w:val="28"/>
        </w:rPr>
      </w:pPr>
      <w:r>
        <w:rPr>
          <w:rFonts w:hint="eastAsia"/>
          <w:sz w:val="28"/>
          <w:szCs w:val="28"/>
        </w:rPr>
        <w:t>Q1，Q2……Qn——与各危险化学品相对应的临界量，t。</w:t>
      </w:r>
    </w:p>
    <w:p>
      <w:pPr>
        <w:pStyle w:val="5"/>
        <w:keepNext w:val="0"/>
        <w:keepLines w:val="0"/>
        <w:snapToGrid w:val="0"/>
        <w:spacing w:before="0" w:after="0" w:line="360" w:lineRule="auto"/>
        <w:jc w:val="left"/>
        <w:rPr>
          <w:rFonts w:ascii="宋体" w:hAnsi="宋体" w:cs="宋体"/>
          <w:sz w:val="28"/>
          <w:szCs w:val="28"/>
        </w:rPr>
      </w:pPr>
      <w:bookmarkStart w:id="398" w:name="_Toc489367703"/>
      <w:bookmarkStart w:id="399" w:name="_Toc3720"/>
      <w:bookmarkStart w:id="400" w:name="_Toc42679925"/>
      <w:bookmarkStart w:id="401" w:name="_Toc5477081"/>
      <w:bookmarkStart w:id="402" w:name="_Toc5477451"/>
      <w:r>
        <w:rPr>
          <w:rFonts w:hint="eastAsia" w:ascii="宋体" w:hAnsi="宋体" w:cs="宋体"/>
          <w:sz w:val="28"/>
          <w:szCs w:val="28"/>
        </w:rPr>
        <w:t>3.12.2 辨识</w:t>
      </w:r>
      <w:bookmarkEnd w:id="398"/>
      <w:bookmarkEnd w:id="399"/>
      <w:bookmarkEnd w:id="400"/>
      <w:bookmarkEnd w:id="401"/>
      <w:bookmarkEnd w:id="402"/>
    </w:p>
    <w:p>
      <w:pPr>
        <w:snapToGrid w:val="0"/>
        <w:spacing w:line="360" w:lineRule="auto"/>
        <w:ind w:firstLine="560" w:firstLineChars="200"/>
        <w:rPr>
          <w:sz w:val="28"/>
          <w:szCs w:val="28"/>
        </w:rPr>
      </w:pPr>
      <w:r>
        <w:rPr>
          <w:rFonts w:hint="eastAsia"/>
          <w:sz w:val="28"/>
          <w:szCs w:val="28"/>
        </w:rPr>
        <w:t>本项目主要为存储单元，对照《危险化学品重大危险源辨识》，本项目中列入重大危险源辨识中的危险化学品是：油漆、汽油、检维修作业使用的乙炔（溶于介质的）和氧（压缩的或液化的），其中汽油储存属于厂区原有设施，不在本次评价范围内，其临界量如下表所列：</w:t>
      </w:r>
    </w:p>
    <w:p>
      <w:pPr>
        <w:adjustRightInd w:val="0"/>
        <w:snapToGrid w:val="0"/>
        <w:spacing w:line="500" w:lineRule="exact"/>
        <w:ind w:firstLine="482"/>
        <w:jc w:val="center"/>
        <w:rPr>
          <w:rFonts w:ascii="宋体" w:hAnsi="宋体" w:cs="宋体"/>
          <w:b/>
          <w:sz w:val="24"/>
        </w:rPr>
      </w:pPr>
      <w:r>
        <w:rPr>
          <w:rFonts w:hint="eastAsia"/>
          <w:b/>
          <w:snapToGrid w:val="0"/>
          <w:sz w:val="24"/>
        </w:rPr>
        <w:t xml:space="preserve">表3-1 </w:t>
      </w:r>
      <w:r>
        <w:rPr>
          <w:rFonts w:hint="eastAsia" w:ascii="宋体" w:hAnsi="宋体" w:cs="宋体"/>
          <w:b/>
          <w:sz w:val="24"/>
        </w:rPr>
        <w:t>危险化学品重大危险源辨识临界量对照表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4150"/>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135" w:type="dxa"/>
            <w:noWrap/>
            <w:vAlign w:val="center"/>
          </w:tcPr>
          <w:p>
            <w:pPr>
              <w:widowControl/>
              <w:adjustRightInd w:val="0"/>
              <w:snapToGrid w:val="0"/>
              <w:spacing w:before="100" w:beforeAutospacing="1" w:after="100" w:afterAutospacing="1" w:line="500" w:lineRule="exact"/>
              <w:jc w:val="center"/>
              <w:rPr>
                <w:rFonts w:ascii="宋体" w:hAnsi="宋体" w:cs="宋体"/>
                <w:b/>
                <w:kern w:val="0"/>
                <w:sz w:val="24"/>
              </w:rPr>
            </w:pPr>
            <w:r>
              <w:rPr>
                <w:rFonts w:hint="eastAsia" w:ascii="宋体" w:hAnsi="宋体" w:cs="宋体"/>
                <w:b/>
                <w:kern w:val="0"/>
                <w:sz w:val="24"/>
              </w:rPr>
              <w:t>序号</w:t>
            </w:r>
          </w:p>
        </w:tc>
        <w:tc>
          <w:tcPr>
            <w:tcW w:w="4150" w:type="dxa"/>
            <w:noWrap/>
            <w:vAlign w:val="center"/>
          </w:tcPr>
          <w:p>
            <w:pPr>
              <w:widowControl/>
              <w:adjustRightInd w:val="0"/>
              <w:snapToGrid w:val="0"/>
              <w:spacing w:before="100" w:beforeAutospacing="1" w:after="100" w:afterAutospacing="1" w:line="500" w:lineRule="exact"/>
              <w:jc w:val="center"/>
              <w:rPr>
                <w:rFonts w:ascii="宋体" w:hAnsi="宋体" w:cs="宋体"/>
                <w:b/>
                <w:kern w:val="0"/>
                <w:sz w:val="24"/>
              </w:rPr>
            </w:pPr>
            <w:r>
              <w:rPr>
                <w:rFonts w:hint="eastAsia" w:ascii="宋体" w:hAnsi="宋体" w:cs="宋体"/>
                <w:b/>
                <w:kern w:val="0"/>
                <w:sz w:val="24"/>
              </w:rPr>
              <w:t>物质名称</w:t>
            </w:r>
          </w:p>
        </w:tc>
        <w:tc>
          <w:tcPr>
            <w:tcW w:w="3173" w:type="dxa"/>
            <w:noWrap/>
            <w:vAlign w:val="center"/>
          </w:tcPr>
          <w:p>
            <w:pPr>
              <w:widowControl/>
              <w:adjustRightInd w:val="0"/>
              <w:snapToGrid w:val="0"/>
              <w:spacing w:before="100" w:beforeAutospacing="1" w:after="100" w:afterAutospacing="1" w:line="500" w:lineRule="exact"/>
              <w:jc w:val="center"/>
              <w:rPr>
                <w:rFonts w:ascii="宋体" w:hAnsi="宋体" w:cs="宋体"/>
                <w:b/>
                <w:kern w:val="0"/>
                <w:sz w:val="24"/>
              </w:rPr>
            </w:pPr>
            <w:r>
              <w:rPr>
                <w:rFonts w:hint="eastAsia" w:ascii="宋体" w:hAnsi="宋体" w:cs="宋体"/>
                <w:b/>
                <w:kern w:val="0"/>
                <w:sz w:val="24"/>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135" w:type="dxa"/>
            <w:noWrap/>
            <w:vAlign w:val="center"/>
          </w:tcPr>
          <w:p>
            <w:pPr>
              <w:widowControl/>
              <w:adjustRightInd w:val="0"/>
              <w:snapToGrid w:val="0"/>
              <w:spacing w:before="100" w:beforeAutospacing="1" w:after="100" w:afterAutospacing="1" w:line="500" w:lineRule="exact"/>
              <w:jc w:val="center"/>
              <w:rPr>
                <w:rFonts w:ascii="宋体" w:hAnsi="宋体" w:cs="宋体"/>
                <w:kern w:val="0"/>
                <w:sz w:val="24"/>
              </w:rPr>
            </w:pPr>
            <w:r>
              <w:rPr>
                <w:rFonts w:hint="eastAsia" w:ascii="宋体" w:hAnsi="宋体" w:cs="宋体"/>
                <w:kern w:val="0"/>
                <w:sz w:val="24"/>
              </w:rPr>
              <w:t>1</w:t>
            </w:r>
          </w:p>
        </w:tc>
        <w:tc>
          <w:tcPr>
            <w:tcW w:w="4150" w:type="dxa"/>
            <w:noWrap/>
            <w:vAlign w:val="center"/>
          </w:tcPr>
          <w:p>
            <w:pPr>
              <w:widowControl/>
              <w:adjustRightInd w:val="0"/>
              <w:snapToGrid w:val="0"/>
              <w:spacing w:line="500" w:lineRule="exact"/>
              <w:jc w:val="center"/>
              <w:rPr>
                <w:rFonts w:ascii="宋体" w:hAnsi="宋体" w:cs="宋体"/>
                <w:kern w:val="0"/>
                <w:sz w:val="24"/>
              </w:rPr>
            </w:pPr>
            <w:r>
              <w:rPr>
                <w:rFonts w:hint="eastAsia" w:ascii="宋体" w:hAnsi="宋体" w:cs="宋体"/>
                <w:kern w:val="0"/>
                <w:sz w:val="24"/>
              </w:rPr>
              <w:t>乙炔(溶于介质的)</w:t>
            </w:r>
          </w:p>
        </w:tc>
        <w:tc>
          <w:tcPr>
            <w:tcW w:w="3173" w:type="dxa"/>
            <w:noWrap/>
            <w:vAlign w:val="center"/>
          </w:tcPr>
          <w:p>
            <w:pPr>
              <w:widowControl/>
              <w:adjustRightInd w:val="0"/>
              <w:snapToGrid w:val="0"/>
              <w:spacing w:before="100" w:beforeAutospacing="1" w:after="100" w:afterAutospacing="1" w:line="500" w:lineRule="exact"/>
              <w:jc w:val="center"/>
              <w:rPr>
                <w:rFonts w:ascii="宋体" w:hAnsi="宋体" w:cs="宋体"/>
                <w:kern w:val="0"/>
                <w:sz w:val="24"/>
              </w:rPr>
            </w:pPr>
            <w:r>
              <w:rPr>
                <w:rFonts w:hint="eastAsia" w:ascii="宋体" w:hAnsi="宋体" w:cs="宋体"/>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135" w:type="dxa"/>
            <w:noWrap/>
            <w:vAlign w:val="center"/>
          </w:tcPr>
          <w:p>
            <w:pPr>
              <w:widowControl/>
              <w:adjustRightInd w:val="0"/>
              <w:snapToGrid w:val="0"/>
              <w:spacing w:before="100" w:beforeAutospacing="1" w:after="100" w:afterAutospacing="1" w:line="500" w:lineRule="exact"/>
              <w:jc w:val="center"/>
              <w:rPr>
                <w:rFonts w:ascii="宋体" w:hAnsi="宋体" w:cs="宋体"/>
                <w:kern w:val="0"/>
                <w:sz w:val="24"/>
              </w:rPr>
            </w:pPr>
            <w:r>
              <w:rPr>
                <w:rFonts w:hint="eastAsia" w:ascii="宋体" w:hAnsi="宋体" w:cs="宋体"/>
                <w:kern w:val="0"/>
                <w:sz w:val="24"/>
              </w:rPr>
              <w:t>2</w:t>
            </w:r>
          </w:p>
        </w:tc>
        <w:tc>
          <w:tcPr>
            <w:tcW w:w="4150" w:type="dxa"/>
            <w:noWrap/>
            <w:vAlign w:val="center"/>
          </w:tcPr>
          <w:p>
            <w:pPr>
              <w:widowControl/>
              <w:adjustRightInd w:val="0"/>
              <w:snapToGrid w:val="0"/>
              <w:spacing w:line="500" w:lineRule="exact"/>
              <w:jc w:val="center"/>
              <w:rPr>
                <w:rFonts w:ascii="宋体" w:hAnsi="宋体" w:cs="宋体"/>
                <w:kern w:val="0"/>
                <w:sz w:val="24"/>
              </w:rPr>
            </w:pPr>
            <w:r>
              <w:rPr>
                <w:rFonts w:hint="eastAsia" w:ascii="宋体" w:hAnsi="宋体" w:cs="宋体"/>
                <w:kern w:val="0"/>
                <w:sz w:val="24"/>
              </w:rPr>
              <w:t>氧(压缩的或液化的)</w:t>
            </w:r>
          </w:p>
        </w:tc>
        <w:tc>
          <w:tcPr>
            <w:tcW w:w="3173" w:type="dxa"/>
            <w:noWrap/>
            <w:vAlign w:val="center"/>
          </w:tcPr>
          <w:p>
            <w:pPr>
              <w:widowControl/>
              <w:adjustRightInd w:val="0"/>
              <w:snapToGrid w:val="0"/>
              <w:spacing w:before="100" w:beforeAutospacing="1" w:after="100" w:afterAutospacing="1" w:line="500" w:lineRule="exact"/>
              <w:jc w:val="center"/>
              <w:rPr>
                <w:rFonts w:ascii="宋体" w:hAnsi="宋体" w:cs="宋体"/>
                <w:kern w:val="0"/>
                <w:sz w:val="24"/>
              </w:rPr>
            </w:pPr>
            <w:r>
              <w:rPr>
                <w:rFonts w:hint="eastAsia" w:ascii="宋体" w:hAnsi="宋体" w:cs="宋体"/>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135" w:type="dxa"/>
            <w:noWrap/>
            <w:vAlign w:val="center"/>
          </w:tcPr>
          <w:p>
            <w:pPr>
              <w:widowControl/>
              <w:adjustRightInd w:val="0"/>
              <w:snapToGrid w:val="0"/>
              <w:spacing w:before="100" w:beforeAutospacing="1" w:after="100" w:afterAutospacing="1" w:line="500" w:lineRule="exact"/>
              <w:jc w:val="center"/>
              <w:rPr>
                <w:rFonts w:ascii="宋体" w:hAnsi="宋体" w:cs="宋体"/>
                <w:color w:val="4F81BD"/>
                <w:kern w:val="0"/>
                <w:sz w:val="24"/>
              </w:rPr>
            </w:pPr>
            <w:r>
              <w:rPr>
                <w:rFonts w:hint="eastAsia" w:ascii="宋体" w:hAnsi="宋体" w:cs="宋体"/>
                <w:color w:val="4F81BD"/>
                <w:kern w:val="0"/>
                <w:sz w:val="24"/>
              </w:rPr>
              <w:t>3</w:t>
            </w:r>
          </w:p>
        </w:tc>
        <w:tc>
          <w:tcPr>
            <w:tcW w:w="4150" w:type="dxa"/>
            <w:noWrap/>
            <w:vAlign w:val="center"/>
          </w:tcPr>
          <w:p>
            <w:pPr>
              <w:widowControl/>
              <w:adjustRightInd w:val="0"/>
              <w:snapToGrid w:val="0"/>
              <w:spacing w:line="500" w:lineRule="exact"/>
              <w:jc w:val="center"/>
              <w:rPr>
                <w:rFonts w:ascii="宋体" w:hAnsi="宋体" w:cs="宋体"/>
                <w:color w:val="4F81BD"/>
                <w:kern w:val="0"/>
                <w:sz w:val="24"/>
              </w:rPr>
            </w:pPr>
            <w:r>
              <w:rPr>
                <w:rFonts w:hint="eastAsia" w:ascii="宋体" w:hAnsi="宋体" w:cs="宋体"/>
                <w:color w:val="4F81BD"/>
                <w:kern w:val="0"/>
                <w:sz w:val="24"/>
              </w:rPr>
              <w:t>油漆</w:t>
            </w:r>
          </w:p>
        </w:tc>
        <w:tc>
          <w:tcPr>
            <w:tcW w:w="3173" w:type="dxa"/>
            <w:noWrap/>
            <w:vAlign w:val="center"/>
          </w:tcPr>
          <w:p>
            <w:pPr>
              <w:widowControl/>
              <w:adjustRightInd w:val="0"/>
              <w:snapToGrid w:val="0"/>
              <w:spacing w:before="100" w:beforeAutospacing="1" w:after="100" w:afterAutospacing="1" w:line="500" w:lineRule="exact"/>
              <w:jc w:val="center"/>
              <w:rPr>
                <w:rFonts w:ascii="宋体" w:hAnsi="宋体" w:cs="宋体"/>
                <w:color w:val="4F81BD"/>
                <w:kern w:val="0"/>
                <w:sz w:val="24"/>
              </w:rPr>
            </w:pPr>
            <w:r>
              <w:rPr>
                <w:rFonts w:hint="eastAsia" w:ascii="宋体" w:hAnsi="宋体" w:cs="宋体"/>
                <w:color w:val="4F81BD"/>
                <w:kern w:val="0"/>
                <w:sz w:val="24"/>
              </w:rPr>
              <w:t>5000</w:t>
            </w:r>
          </w:p>
        </w:tc>
      </w:tr>
    </w:tbl>
    <w:p>
      <w:pPr>
        <w:snapToGrid w:val="0"/>
        <w:spacing w:line="360" w:lineRule="auto"/>
        <w:ind w:firstLine="560" w:firstLineChars="200"/>
        <w:rPr>
          <w:sz w:val="28"/>
          <w:szCs w:val="28"/>
        </w:rPr>
      </w:pPr>
      <w:r>
        <w:rPr>
          <w:rFonts w:hint="eastAsia"/>
          <w:sz w:val="28"/>
          <w:szCs w:val="28"/>
        </w:rPr>
        <w:t>本项目中乙炔(溶于介质的)、氧(压缩的或液化的)主要是检维修中使用到，未设计大量储存，汽油存储于云内动力原有油库，根据建设单位提供的资料，原有油库未构成重大危险源。根据建设单位提供的油漆设计的最大存储量为1.2t，调漆室油漆的储存量为0.4t，本次按照油漆室为单元划分，1.2t＜5000t，故不构成重大危险源。</w:t>
      </w:r>
    </w:p>
    <w:p>
      <w:pPr>
        <w:pStyle w:val="4"/>
        <w:keepNext w:val="0"/>
        <w:keepLines w:val="0"/>
        <w:snapToGrid w:val="0"/>
        <w:spacing w:before="0" w:after="0" w:line="360" w:lineRule="auto"/>
        <w:jc w:val="left"/>
        <w:rPr>
          <w:rFonts w:ascii="宋体" w:hAnsi="宋体" w:cs="宋体"/>
          <w:snapToGrid/>
          <w:kern w:val="2"/>
        </w:rPr>
      </w:pPr>
      <w:bookmarkStart w:id="403" w:name="_Toc936"/>
      <w:bookmarkStart w:id="404" w:name="_Toc42679926"/>
      <w:bookmarkStart w:id="405" w:name="_Toc58579141"/>
      <w:bookmarkStart w:id="406" w:name="_Toc42679928"/>
      <w:r>
        <w:rPr>
          <w:rFonts w:hint="eastAsia" w:ascii="宋体" w:hAnsi="宋体" w:cs="宋体"/>
          <w:snapToGrid/>
          <w:kern w:val="2"/>
        </w:rPr>
        <w:t>3.13 重点监管危险化学品辨识</w:t>
      </w:r>
      <w:bookmarkEnd w:id="403"/>
      <w:bookmarkEnd w:id="404"/>
    </w:p>
    <w:p>
      <w:pPr>
        <w:tabs>
          <w:tab w:val="left" w:pos="945"/>
          <w:tab w:val="left" w:pos="3900"/>
        </w:tabs>
        <w:adjustRightInd w:val="0"/>
        <w:snapToGrid w:val="0"/>
        <w:spacing w:line="360" w:lineRule="auto"/>
        <w:ind w:firstLine="570"/>
        <w:rPr>
          <w:snapToGrid w:val="0"/>
          <w:kern w:val="0"/>
          <w:sz w:val="28"/>
          <w:szCs w:val="28"/>
        </w:rPr>
      </w:pPr>
      <w:r>
        <w:rPr>
          <w:rFonts w:hint="eastAsia"/>
          <w:snapToGrid w:val="0"/>
          <w:kern w:val="0"/>
          <w:sz w:val="28"/>
          <w:szCs w:val="28"/>
        </w:rPr>
        <w:t>根据《国家安全监管总局关于公布首批重点监管的危险化学品名录的通知》、《国家安全监管总局关于公布第二批重点监管危险化学品名录的通知》，本项目中涉及首批重点监管范围内的危险化学品有汽油。</w:t>
      </w:r>
    </w:p>
    <w:p>
      <w:pPr>
        <w:pStyle w:val="4"/>
        <w:keepNext w:val="0"/>
        <w:keepLines w:val="0"/>
        <w:snapToGrid w:val="0"/>
        <w:spacing w:before="0" w:after="0" w:line="360" w:lineRule="auto"/>
        <w:jc w:val="left"/>
        <w:rPr>
          <w:rFonts w:ascii="宋体" w:hAnsi="宋体" w:cs="宋体"/>
          <w:snapToGrid/>
          <w:kern w:val="2"/>
        </w:rPr>
      </w:pPr>
      <w:bookmarkStart w:id="407" w:name="_Toc42679927"/>
      <w:bookmarkStart w:id="408" w:name="_Toc12222"/>
      <w:r>
        <w:rPr>
          <w:rFonts w:hint="eastAsia" w:ascii="宋体" w:hAnsi="宋体" w:cs="宋体"/>
          <w:snapToGrid/>
          <w:kern w:val="2"/>
        </w:rPr>
        <w:t>3.14 重点监管危险化工工艺辨识</w:t>
      </w:r>
      <w:bookmarkEnd w:id="407"/>
      <w:bookmarkEnd w:id="408"/>
    </w:p>
    <w:p>
      <w:pPr>
        <w:tabs>
          <w:tab w:val="left" w:pos="945"/>
          <w:tab w:val="left" w:pos="3900"/>
        </w:tabs>
        <w:adjustRightInd w:val="0"/>
        <w:snapToGrid w:val="0"/>
        <w:spacing w:line="360" w:lineRule="auto"/>
        <w:ind w:firstLine="570"/>
        <w:rPr>
          <w:snapToGrid w:val="0"/>
          <w:kern w:val="0"/>
          <w:sz w:val="28"/>
          <w:szCs w:val="28"/>
        </w:rPr>
      </w:pPr>
      <w:r>
        <w:rPr>
          <w:rFonts w:hint="eastAsia"/>
          <w:snapToGrid w:val="0"/>
          <w:kern w:val="0"/>
          <w:sz w:val="28"/>
          <w:szCs w:val="28"/>
        </w:rPr>
        <w:t>根据《国家安全监管总局关于公布首批重点监管的危险化工工艺目录的通知》、《国家安全监管总局关于公布第二批重点监管的危险化工工艺目录的通知》，本项目中无重点监管的危险化工工艺。</w:t>
      </w:r>
    </w:p>
    <w:p>
      <w:pPr>
        <w:pStyle w:val="4"/>
        <w:keepNext w:val="0"/>
        <w:keepLines w:val="0"/>
        <w:snapToGrid w:val="0"/>
        <w:spacing w:before="0" w:after="0" w:line="360" w:lineRule="auto"/>
        <w:jc w:val="left"/>
        <w:rPr>
          <w:rFonts w:ascii="宋体" w:hAnsi="宋体" w:cs="宋体"/>
          <w:snapToGrid/>
          <w:kern w:val="2"/>
        </w:rPr>
      </w:pPr>
      <w:bookmarkStart w:id="409" w:name="_Toc3466"/>
      <w:r>
        <w:rPr>
          <w:rFonts w:hint="eastAsia" w:ascii="宋体" w:hAnsi="宋体" w:cs="宋体"/>
          <w:snapToGrid/>
          <w:kern w:val="2"/>
        </w:rPr>
        <w:t>3.15</w:t>
      </w:r>
      <w:r>
        <w:rPr>
          <w:rFonts w:hint="eastAsia" w:ascii="宋体" w:hAnsi="宋体" w:cs="宋体"/>
          <w:snapToGrid/>
          <w:kern w:val="2"/>
          <w:lang w:val="en-US" w:eastAsia="zh-CN"/>
        </w:rPr>
        <w:t xml:space="preserve"> </w:t>
      </w:r>
      <w:r>
        <w:rPr>
          <w:rFonts w:hint="eastAsia" w:ascii="宋体" w:hAnsi="宋体" w:cs="宋体"/>
          <w:snapToGrid/>
          <w:kern w:val="2"/>
        </w:rPr>
        <w:t>爆炸危险区域划分</w:t>
      </w:r>
      <w:bookmarkEnd w:id="409"/>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该项目涉及的油漆，其蒸汽与空气混合形成爆炸性气体混合物，根据其出现的频繁程度和持续时间，将爆炸危险区域划分为三个等级。</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一、0区：连续出现或长期出现爆炸性气体混合物的环境；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二、1区：在正常运行时不可能出现爆炸性气体混合物的环境；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三、2区：在正常运行时不可能出现爆炸性气体混合物的环境，或即使出现也仅是短时存在的爆炸性气体混合物的环境。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喷漆室、涂装区、油漆室及调漆室的爆炸区域划分：</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1.喷漆区为1区爆炸危险区域</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2.涂漆区内爆炸性气体环境划为1区危险区域。</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3.整个涂漆作业场所划为涂漆的，其通向露天的门、窗以外，垂直和水平距离3m以内的空间划为2区。</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4.封闭或半封闭涂漆工艺装置，其敞面以外垂直和水平距离3m以内的空间划为2区。</w:t>
      </w:r>
    </w:p>
    <w:bookmarkEnd w:id="405"/>
    <w:bookmarkEnd w:id="406"/>
    <w:p>
      <w:pPr>
        <w:pStyle w:val="4"/>
        <w:keepNext w:val="0"/>
        <w:keepLines w:val="0"/>
        <w:snapToGrid w:val="0"/>
        <w:spacing w:before="0" w:after="0" w:line="360" w:lineRule="auto"/>
        <w:jc w:val="left"/>
        <w:rPr>
          <w:rFonts w:ascii="宋体" w:hAnsi="宋体" w:cs="宋体"/>
          <w:snapToGrid/>
          <w:kern w:val="2"/>
        </w:rPr>
      </w:pPr>
      <w:bookmarkStart w:id="410" w:name="_Toc173"/>
      <w:bookmarkStart w:id="411" w:name="_Toc6610"/>
      <w:bookmarkStart w:id="412" w:name="_Toc3234"/>
      <w:bookmarkStart w:id="413" w:name="_Toc9148309"/>
      <w:r>
        <w:rPr>
          <w:rFonts w:hint="eastAsia" w:ascii="宋体" w:hAnsi="宋体" w:cs="宋体"/>
          <w:snapToGrid/>
          <w:kern w:val="2"/>
        </w:rPr>
        <w:t>3.16</w:t>
      </w:r>
      <w:r>
        <w:rPr>
          <w:rFonts w:hint="eastAsia" w:ascii="宋体" w:hAnsi="宋体" w:cs="宋体"/>
          <w:snapToGrid/>
          <w:kern w:val="2"/>
          <w:lang w:val="en-US" w:eastAsia="zh-CN"/>
        </w:rPr>
        <w:t xml:space="preserve"> </w:t>
      </w:r>
      <w:r>
        <w:rPr>
          <w:rFonts w:hint="eastAsia" w:ascii="宋体" w:hAnsi="宋体" w:cs="宋体"/>
          <w:snapToGrid/>
          <w:kern w:val="2"/>
        </w:rPr>
        <w:t>重大生产安全事故隐患辨识</w:t>
      </w:r>
      <w:bookmarkEnd w:id="410"/>
    </w:p>
    <w:bookmarkEnd w:id="411"/>
    <w:bookmarkEnd w:id="412"/>
    <w:bookmarkEnd w:id="413"/>
    <w:p>
      <w:pPr>
        <w:snapToGrid w:val="0"/>
        <w:spacing w:line="360" w:lineRule="auto"/>
        <w:ind w:firstLine="560" w:firstLineChars="200"/>
        <w:rPr>
          <w:rFonts w:ascii="宋体" w:hAnsi="宋体"/>
          <w:bCs/>
          <w:sz w:val="28"/>
          <w:szCs w:val="28"/>
        </w:rPr>
      </w:pPr>
      <w:bookmarkStart w:id="414" w:name="_Toc353533017"/>
      <w:bookmarkStart w:id="415" w:name="_Toc28134"/>
      <w:bookmarkStart w:id="416" w:name="_Toc270948156"/>
      <w:r>
        <w:rPr>
          <w:rFonts w:hint="eastAsia"/>
          <w:snapToGrid w:val="0"/>
          <w:kern w:val="0"/>
          <w:sz w:val="28"/>
          <w:szCs w:val="28"/>
        </w:rPr>
        <w:t>根</w:t>
      </w:r>
      <w:r>
        <w:rPr>
          <w:rFonts w:hint="eastAsia"/>
          <w:snapToGrid w:val="0"/>
          <w:kern w:val="0"/>
          <w:sz w:val="28"/>
          <w:szCs w:val="28"/>
          <w:highlight w:val="none"/>
        </w:rPr>
        <w:t>据《工贸企业重大事故隐患判定标准》（中华人民共和国应急管理部令第10号，2023年5月15日起施行）</w:t>
      </w:r>
      <w:r>
        <w:rPr>
          <w:rFonts w:hint="eastAsia"/>
          <w:snapToGrid w:val="0"/>
          <w:kern w:val="0"/>
          <w:sz w:val="28"/>
          <w:szCs w:val="28"/>
        </w:rPr>
        <w:t>，</w:t>
      </w:r>
      <w:r>
        <w:rPr>
          <w:rFonts w:hint="eastAsia" w:ascii="宋体" w:hAnsi="宋体"/>
          <w:bCs/>
          <w:sz w:val="28"/>
          <w:szCs w:val="28"/>
        </w:rPr>
        <w:t>对本项目是否涉及重大生产安全事故隐患进行辨识，具体见表3-9。</w:t>
      </w:r>
    </w:p>
    <w:p>
      <w:pPr>
        <w:pStyle w:val="19"/>
        <w:autoSpaceDE w:val="0"/>
        <w:autoSpaceDN w:val="0"/>
        <w:adjustRightInd/>
        <w:spacing w:line="360" w:lineRule="auto"/>
        <w:ind w:right="391"/>
        <w:jc w:val="center"/>
        <w:rPr>
          <w:rFonts w:ascii="宋体" w:hAnsi="宋体" w:cs="宋体"/>
          <w:spacing w:val="-1"/>
          <w:sz w:val="28"/>
          <w:szCs w:val="28"/>
          <w:lang w:val="zh-CN"/>
        </w:rPr>
      </w:pPr>
      <w:r>
        <w:rPr>
          <w:rFonts w:hint="eastAsia" w:ascii="宋体" w:hAnsi="宋体" w:cs="宋体"/>
          <w:spacing w:val="-1"/>
          <w:lang w:val="zh-CN"/>
        </w:rPr>
        <w:t xml:space="preserve">表 </w:t>
      </w:r>
      <w:r>
        <w:rPr>
          <w:rFonts w:hint="eastAsia" w:ascii="宋体" w:hAnsi="宋体" w:cs="宋体"/>
          <w:spacing w:val="-1"/>
        </w:rPr>
        <w:t>3-9</w:t>
      </w:r>
      <w:r>
        <w:rPr>
          <w:rFonts w:hint="eastAsia" w:ascii="宋体" w:hAnsi="宋体" w:cs="宋体"/>
          <w:spacing w:val="-1"/>
          <w:lang w:val="zh-CN"/>
        </w:rPr>
        <w:t xml:space="preserve"> 重大生产安全事故隐患检查表</w:t>
      </w:r>
    </w:p>
    <w:tbl>
      <w:tblPr>
        <w:tblStyle w:val="53"/>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4906"/>
        <w:gridCol w:w="2178"/>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blHeader/>
          <w:jc w:val="center"/>
        </w:trPr>
        <w:tc>
          <w:tcPr>
            <w:tcW w:w="701" w:type="dxa"/>
            <w:noWrap/>
            <w:vAlign w:val="center"/>
          </w:tcPr>
          <w:p>
            <w:pPr>
              <w:snapToGrid w:val="0"/>
              <w:jc w:val="center"/>
              <w:rPr>
                <w:rFonts w:ascii="宋体" w:hAnsi="宋体"/>
                <w:b/>
                <w:bCs/>
                <w:color w:val="000000"/>
                <w:szCs w:val="21"/>
              </w:rPr>
            </w:pPr>
            <w:r>
              <w:rPr>
                <w:rFonts w:hint="eastAsia" w:ascii="宋体" w:hAnsi="宋体"/>
                <w:b/>
                <w:bCs/>
                <w:color w:val="000000"/>
                <w:szCs w:val="21"/>
              </w:rPr>
              <w:t>序号</w:t>
            </w:r>
          </w:p>
        </w:tc>
        <w:tc>
          <w:tcPr>
            <w:tcW w:w="4906" w:type="dxa"/>
            <w:noWrap/>
            <w:vAlign w:val="center"/>
          </w:tcPr>
          <w:p>
            <w:pPr>
              <w:snapToGrid w:val="0"/>
              <w:jc w:val="center"/>
              <w:rPr>
                <w:rFonts w:ascii="宋体" w:hAnsi="宋体"/>
                <w:b/>
                <w:bCs/>
                <w:color w:val="000000"/>
                <w:szCs w:val="21"/>
              </w:rPr>
            </w:pPr>
            <w:r>
              <w:rPr>
                <w:rFonts w:hint="eastAsia" w:ascii="宋体" w:hAnsi="宋体"/>
                <w:b/>
                <w:bCs/>
                <w:color w:val="000000"/>
                <w:szCs w:val="21"/>
              </w:rPr>
              <w:t>检查内容</w:t>
            </w:r>
          </w:p>
        </w:tc>
        <w:tc>
          <w:tcPr>
            <w:tcW w:w="2178" w:type="dxa"/>
            <w:noWrap/>
            <w:vAlign w:val="center"/>
          </w:tcPr>
          <w:p>
            <w:pPr>
              <w:snapToGrid w:val="0"/>
              <w:jc w:val="center"/>
              <w:rPr>
                <w:rFonts w:ascii="宋体" w:hAnsi="宋体"/>
                <w:b/>
                <w:bCs/>
                <w:color w:val="000000"/>
                <w:szCs w:val="21"/>
              </w:rPr>
            </w:pPr>
            <w:r>
              <w:rPr>
                <w:rFonts w:hint="eastAsia" w:ascii="宋体" w:hAnsi="宋体"/>
                <w:b/>
                <w:bCs/>
                <w:color w:val="000000"/>
                <w:szCs w:val="21"/>
              </w:rPr>
              <w:t>检查情况</w:t>
            </w:r>
          </w:p>
        </w:tc>
        <w:tc>
          <w:tcPr>
            <w:tcW w:w="1594" w:type="dxa"/>
            <w:noWrap/>
            <w:vAlign w:val="center"/>
          </w:tcPr>
          <w:p>
            <w:pPr>
              <w:snapToGrid w:val="0"/>
              <w:jc w:val="center"/>
              <w:rPr>
                <w:rFonts w:ascii="宋体" w:hAnsi="宋体"/>
                <w:b/>
                <w:bCs/>
                <w:szCs w:val="21"/>
              </w:rPr>
            </w:pPr>
            <w:r>
              <w:rPr>
                <w:rFonts w:ascii="宋体" w:hAnsi="宋体"/>
                <w:b/>
                <w:bCs/>
                <w:color w:val="000000"/>
                <w:szCs w:val="21"/>
              </w:rPr>
              <w:t>结论</w:t>
            </w:r>
            <w:r>
              <w:rPr>
                <w:rFonts w:hint="eastAsia" w:ascii="宋体" w:hAnsi="宋体"/>
                <w:b/>
                <w:bCs/>
                <w:color w:val="000000"/>
                <w:szCs w:val="21"/>
              </w:rPr>
              <w:t>（是否存在重大隐患）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未对承包单位、承租单位的安全生产工作统一协调、管理，或者未定期进行安全检查的。</w:t>
            </w:r>
          </w:p>
        </w:tc>
        <w:tc>
          <w:tcPr>
            <w:tcW w:w="2178" w:type="dxa"/>
            <w:noWrap/>
            <w:vAlign w:val="center"/>
          </w:tcPr>
          <w:p>
            <w:pPr>
              <w:snapToGrid w:val="0"/>
              <w:rPr>
                <w:rFonts w:ascii="宋体" w:hAnsi="宋体" w:cs="宋体"/>
                <w:kern w:val="0"/>
                <w:szCs w:val="28"/>
              </w:rPr>
            </w:pPr>
            <w:r>
              <w:rPr>
                <w:rFonts w:hint="eastAsia" w:ascii="宋体" w:hAnsi="宋体"/>
                <w:szCs w:val="21"/>
              </w:rPr>
              <w:t>对承包单位、承租单位的安全生产工作统一协调、管理。定期检查。</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特种作业人员未按照规定经专门的安全作业培训并取得相应资格，上岗作业的。</w:t>
            </w:r>
          </w:p>
        </w:tc>
        <w:tc>
          <w:tcPr>
            <w:tcW w:w="2178" w:type="dxa"/>
            <w:noWrap/>
            <w:vAlign w:val="center"/>
          </w:tcPr>
          <w:p>
            <w:pPr>
              <w:snapToGrid w:val="0"/>
              <w:rPr>
                <w:rFonts w:ascii="宋体" w:hAnsi="宋体" w:cs="宋体"/>
                <w:kern w:val="0"/>
                <w:szCs w:val="28"/>
              </w:rPr>
            </w:pPr>
            <w:r>
              <w:rPr>
                <w:rFonts w:hint="eastAsia" w:ascii="宋体" w:hAnsi="宋体"/>
                <w:szCs w:val="21"/>
              </w:rPr>
              <w:t>特种作业人员经专门的安全作业培训并取得相应资格，上岗作业。</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会议室、活动室、休息室、更衣室、交接班室等5类人员聚集场所设置在熔融金属吊运跨或者浇注跨的地坪区域内的。</w:t>
            </w:r>
          </w:p>
        </w:tc>
        <w:tc>
          <w:tcPr>
            <w:tcW w:w="2178" w:type="dxa"/>
            <w:noWrap/>
            <w:vAlign w:val="center"/>
          </w:tcPr>
          <w:p>
            <w:pPr>
              <w:snapToGrid w:val="0"/>
              <w:rPr>
                <w:rFonts w:ascii="宋体" w:hAnsi="宋体"/>
                <w:szCs w:val="21"/>
              </w:rPr>
            </w:pPr>
            <w:r>
              <w:rPr>
                <w:rFonts w:hint="eastAsia" w:ascii="宋体" w:hAnsi="宋体"/>
                <w:szCs w:val="21"/>
              </w:rPr>
              <w:t>未设置在熔融金属吊运跨或者浇注跨的地坪区域内的。</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铸造用熔炼炉、精炼炉、保温炉未设置紧急排放和应急储存设施的。</w:t>
            </w:r>
          </w:p>
        </w:tc>
        <w:tc>
          <w:tcPr>
            <w:tcW w:w="2178" w:type="dxa"/>
            <w:noWrap/>
            <w:vAlign w:val="center"/>
          </w:tcPr>
          <w:p>
            <w:pPr>
              <w:snapToGrid w:val="0"/>
              <w:rPr>
                <w:rFonts w:ascii="宋体" w:hAnsi="宋体"/>
                <w:szCs w:val="21"/>
              </w:rPr>
            </w:pPr>
            <w:r>
              <w:rPr>
                <w:rFonts w:hint="eastAsia" w:ascii="宋体" w:hAnsi="宋体"/>
                <w:szCs w:val="21"/>
              </w:rPr>
              <w:t>本项目不涉及。</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生产期间铸造用熔炼炉、精炼炉、保温炉的炉底、炉坑和事故坑，以及熔融金属泄漏、喷溅影响范围内的炉前平台、炉基区域、造型地坑、浇注作业坑和熔融金属转运通道等8类区域存在积水的。</w:t>
            </w:r>
          </w:p>
        </w:tc>
        <w:tc>
          <w:tcPr>
            <w:tcW w:w="2178" w:type="dxa"/>
            <w:noWrap/>
            <w:vAlign w:val="center"/>
          </w:tcPr>
          <w:p>
            <w:pPr>
              <w:snapToGrid w:val="0"/>
              <w:rPr>
                <w:rFonts w:ascii="宋体" w:hAnsi="宋体"/>
                <w:szCs w:val="21"/>
              </w:rPr>
            </w:pPr>
            <w:r>
              <w:rPr>
                <w:rFonts w:hint="eastAsia" w:ascii="宋体" w:hAnsi="宋体"/>
                <w:szCs w:val="21"/>
              </w:rPr>
              <w:t>本项目不涉及。</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铸造用熔炼炉、精炼炉、压铸机、氧枪的冷却水系统未设置出水温度、进出水流量差监测报警装置，或者监测报警装置未与熔融金属加热、输送控制系统联锁的。</w:t>
            </w:r>
          </w:p>
        </w:tc>
        <w:tc>
          <w:tcPr>
            <w:tcW w:w="2178" w:type="dxa"/>
            <w:noWrap/>
            <w:vAlign w:val="center"/>
          </w:tcPr>
          <w:p>
            <w:pPr>
              <w:snapToGrid w:val="0"/>
              <w:rPr>
                <w:rFonts w:ascii="宋体" w:hAnsi="宋体"/>
                <w:szCs w:val="21"/>
              </w:rPr>
            </w:pPr>
            <w:r>
              <w:rPr>
                <w:rFonts w:hint="eastAsia" w:ascii="宋体" w:hAnsi="宋体"/>
                <w:szCs w:val="21"/>
              </w:rPr>
              <w:t>本项目不涉及。</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hint="eastAsia" w:ascii="宋体" w:hAnsi="宋体" w:eastAsia="宋体"/>
                <w:szCs w:val="21"/>
                <w:lang w:eastAsia="zh-CN"/>
              </w:rPr>
            </w:pPr>
            <w:r>
              <w:rPr>
                <w:rFonts w:hint="eastAsia" w:ascii="宋体" w:hAnsi="宋体"/>
                <w:szCs w:val="21"/>
              </w:rPr>
              <w:t>使用煤气（天然气）的燃烧装置的燃气总管未设置管道压力监测报警装置，或者监测报警装置未与紧急自动切断装置联锁，或者燃烧装置未设置火焰监测和熄火保护系统的</w:t>
            </w:r>
            <w:r>
              <w:rPr>
                <w:rFonts w:hint="eastAsia" w:ascii="宋体" w:hAnsi="宋体"/>
                <w:szCs w:val="21"/>
                <w:lang w:eastAsia="zh-CN"/>
              </w:rPr>
              <w:t>。</w:t>
            </w:r>
          </w:p>
        </w:tc>
        <w:tc>
          <w:tcPr>
            <w:tcW w:w="2178" w:type="dxa"/>
            <w:noWrap/>
            <w:vAlign w:val="center"/>
          </w:tcPr>
          <w:p>
            <w:pPr>
              <w:snapToGrid w:val="0"/>
              <w:rPr>
                <w:rFonts w:ascii="宋体" w:hAnsi="宋体"/>
                <w:szCs w:val="21"/>
              </w:rPr>
            </w:pPr>
            <w:r>
              <w:rPr>
                <w:rFonts w:hint="eastAsia" w:ascii="宋体" w:hAnsi="宋体"/>
                <w:szCs w:val="21"/>
              </w:rPr>
              <w:t>本项目不涉及。</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hint="eastAsia" w:ascii="宋体" w:hAnsi="宋体" w:eastAsia="宋体"/>
                <w:szCs w:val="21"/>
                <w:lang w:eastAsia="zh-CN"/>
              </w:rPr>
            </w:pPr>
            <w:r>
              <w:rPr>
                <w:rFonts w:hint="eastAsia" w:ascii="宋体" w:hAnsi="宋体"/>
                <w:szCs w:val="21"/>
              </w:rPr>
              <w:t>使用可燃性有机溶剂清洗设备设施、工装器具、地面时，未采取防止可燃气体在周边密闭或者半密闭空间内积聚措施的</w:t>
            </w:r>
            <w:r>
              <w:rPr>
                <w:rFonts w:hint="eastAsia" w:ascii="宋体" w:hAnsi="宋体"/>
                <w:szCs w:val="21"/>
                <w:lang w:eastAsia="zh-CN"/>
              </w:rPr>
              <w:t>。</w:t>
            </w:r>
          </w:p>
        </w:tc>
        <w:tc>
          <w:tcPr>
            <w:tcW w:w="2178" w:type="dxa"/>
            <w:noWrap/>
            <w:vAlign w:val="center"/>
          </w:tcPr>
          <w:p>
            <w:pPr>
              <w:snapToGrid w:val="0"/>
              <w:rPr>
                <w:rFonts w:ascii="宋体" w:hAnsi="宋体"/>
                <w:szCs w:val="21"/>
              </w:rPr>
            </w:pPr>
            <w:r>
              <w:rPr>
                <w:rFonts w:hint="eastAsia" w:ascii="宋体" w:hAnsi="宋体"/>
                <w:szCs w:val="21"/>
              </w:rPr>
              <w:t>本项目不涉及。</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使用非水性漆的调漆间、喷漆室未设置固定式可燃气体浓度监测报警装置或者通风设施的。</w:t>
            </w:r>
          </w:p>
        </w:tc>
        <w:tc>
          <w:tcPr>
            <w:tcW w:w="2178" w:type="dxa"/>
            <w:noWrap/>
            <w:vAlign w:val="center"/>
          </w:tcPr>
          <w:p>
            <w:pPr>
              <w:snapToGrid w:val="0"/>
              <w:rPr>
                <w:rFonts w:ascii="宋体" w:hAnsi="宋体"/>
                <w:szCs w:val="21"/>
              </w:rPr>
            </w:pPr>
            <w:r>
              <w:rPr>
                <w:rFonts w:hint="eastAsia" w:ascii="宋体" w:hAnsi="宋体"/>
                <w:szCs w:val="21"/>
              </w:rPr>
              <w:t>本项目不涉及。</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hint="eastAsia" w:ascii="宋体" w:hAnsi="宋体" w:eastAsia="宋体"/>
                <w:szCs w:val="21"/>
                <w:lang w:eastAsia="zh-CN"/>
              </w:rPr>
            </w:pPr>
            <w:r>
              <w:rPr>
                <w:rFonts w:hint="eastAsia" w:ascii="宋体" w:hAnsi="宋体"/>
                <w:szCs w:val="21"/>
              </w:rPr>
              <w:t>未对有限空间进行辨识、建立安全管理台账，并且未设置明显的安全警示标志的</w:t>
            </w:r>
            <w:r>
              <w:rPr>
                <w:rFonts w:hint="eastAsia" w:ascii="宋体" w:hAnsi="宋体"/>
                <w:szCs w:val="21"/>
                <w:lang w:eastAsia="zh-CN"/>
              </w:rPr>
              <w:t>。</w:t>
            </w:r>
          </w:p>
        </w:tc>
        <w:tc>
          <w:tcPr>
            <w:tcW w:w="2178" w:type="dxa"/>
            <w:noWrap/>
            <w:vAlign w:val="center"/>
          </w:tcPr>
          <w:p>
            <w:pPr>
              <w:snapToGrid w:val="0"/>
              <w:rPr>
                <w:rFonts w:ascii="宋体" w:hAnsi="宋体"/>
                <w:szCs w:val="21"/>
              </w:rPr>
            </w:pPr>
            <w:r>
              <w:rPr>
                <w:rFonts w:hint="eastAsia" w:ascii="宋体" w:hAnsi="宋体"/>
                <w:szCs w:val="21"/>
              </w:rPr>
              <w:t>对有限空间进行辨识，建立有安全管理台账，设置明显安全警示标识。</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未落实有限空间作业审批，或者未执行“先通风、再检测、后作业”要求，或者作业现场未设置监护人员的。</w:t>
            </w:r>
          </w:p>
        </w:tc>
        <w:tc>
          <w:tcPr>
            <w:tcW w:w="2178" w:type="dxa"/>
            <w:noWrap/>
            <w:vAlign w:val="center"/>
          </w:tcPr>
          <w:p>
            <w:pPr>
              <w:snapToGrid w:val="0"/>
              <w:rPr>
                <w:rFonts w:ascii="宋体" w:hAnsi="宋体"/>
                <w:szCs w:val="21"/>
              </w:rPr>
            </w:pPr>
            <w:r>
              <w:rPr>
                <w:rFonts w:hint="eastAsia" w:ascii="宋体" w:hAnsi="宋体"/>
                <w:szCs w:val="21"/>
              </w:rPr>
              <w:t>落实有限空间作业审批。作业现场设置监护人员的。</w:t>
            </w:r>
          </w:p>
        </w:tc>
        <w:tc>
          <w:tcPr>
            <w:tcW w:w="1594" w:type="dxa"/>
            <w:noWrap/>
            <w:vAlign w:val="center"/>
          </w:tcPr>
          <w:p>
            <w:pPr>
              <w:snapToGrid w:val="0"/>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01" w:type="dxa"/>
            <w:noWrap/>
            <w:vAlign w:val="center"/>
          </w:tcPr>
          <w:p>
            <w:pPr>
              <w:numPr>
                <w:ilvl w:val="0"/>
                <w:numId w:val="11"/>
              </w:numPr>
              <w:snapToGrid w:val="0"/>
              <w:jc w:val="center"/>
              <w:rPr>
                <w:rFonts w:ascii="宋体" w:hAnsi="宋体"/>
                <w:color w:val="000000"/>
                <w:szCs w:val="21"/>
              </w:rPr>
            </w:pPr>
          </w:p>
        </w:tc>
        <w:tc>
          <w:tcPr>
            <w:tcW w:w="4906" w:type="dxa"/>
            <w:noWrap/>
            <w:vAlign w:val="center"/>
          </w:tcPr>
          <w:p>
            <w:pPr>
              <w:snapToGrid w:val="0"/>
              <w:rPr>
                <w:rFonts w:ascii="宋体" w:hAnsi="宋体"/>
                <w:szCs w:val="21"/>
              </w:rPr>
            </w:pPr>
            <w:r>
              <w:rPr>
                <w:rFonts w:hint="eastAsia" w:ascii="宋体" w:hAnsi="宋体"/>
                <w:szCs w:val="21"/>
              </w:rPr>
              <w:t>标准所列情形中直接关系生产安全的监控、报警、防护等设施、设备、装置，应当保证正常运行、使用，失效或者无效均判定为重大事故隐患。</w:t>
            </w:r>
          </w:p>
        </w:tc>
        <w:tc>
          <w:tcPr>
            <w:tcW w:w="2178" w:type="dxa"/>
            <w:noWrap/>
            <w:vAlign w:val="center"/>
          </w:tcPr>
          <w:p>
            <w:pPr>
              <w:snapToGrid w:val="0"/>
              <w:rPr>
                <w:rFonts w:ascii="宋体" w:hAnsi="宋体"/>
                <w:szCs w:val="21"/>
              </w:rPr>
            </w:pPr>
            <w:r>
              <w:rPr>
                <w:rFonts w:hint="eastAsia" w:ascii="宋体" w:hAnsi="宋体"/>
                <w:szCs w:val="21"/>
              </w:rPr>
              <w:t>设置监控、安全联锁装置、围栏等安全设施。</w:t>
            </w:r>
          </w:p>
        </w:tc>
        <w:tc>
          <w:tcPr>
            <w:tcW w:w="1594" w:type="dxa"/>
            <w:noWrap/>
            <w:vAlign w:val="center"/>
          </w:tcPr>
          <w:p>
            <w:pPr>
              <w:snapToGrid w:val="0"/>
              <w:jc w:val="center"/>
              <w:rPr>
                <w:rFonts w:ascii="宋体" w:hAnsi="宋体"/>
                <w:szCs w:val="21"/>
              </w:rPr>
            </w:pPr>
            <w:r>
              <w:rPr>
                <w:rFonts w:hint="eastAsia" w:ascii="宋体" w:hAnsi="宋体"/>
                <w:szCs w:val="21"/>
              </w:rPr>
              <w:t>否</w:t>
            </w:r>
          </w:p>
        </w:tc>
      </w:tr>
    </w:tbl>
    <w:p>
      <w:pPr>
        <w:snapToGrid w:val="0"/>
        <w:spacing w:line="360" w:lineRule="auto"/>
        <w:ind w:firstLine="482"/>
        <w:rPr>
          <w:rFonts w:ascii="宋体" w:hAnsi="宋体" w:cs="宋体"/>
          <w:sz w:val="28"/>
          <w:szCs w:val="28"/>
        </w:rPr>
      </w:pPr>
      <w:r>
        <w:rPr>
          <w:rStyle w:val="156"/>
          <w:rFonts w:hint="eastAsia" w:ascii="宋体" w:hAnsi="宋体"/>
          <w:sz w:val="28"/>
          <w:szCs w:val="28"/>
          <w:lang w:val="zh-CN"/>
        </w:rPr>
        <w:t>根据安全检查表，</w:t>
      </w:r>
      <w:r>
        <w:rPr>
          <w:rFonts w:hint="eastAsia" w:ascii="宋体" w:hAnsi="宋体" w:cs="宋体"/>
          <w:sz w:val="28"/>
          <w:szCs w:val="28"/>
        </w:rPr>
        <w:t>本项目不存在重大生产安全事故隐患。</w:t>
      </w:r>
    </w:p>
    <w:p>
      <w:pPr>
        <w:pStyle w:val="4"/>
        <w:keepNext w:val="0"/>
        <w:keepLines w:val="0"/>
        <w:snapToGrid w:val="0"/>
        <w:spacing w:before="0" w:after="0" w:line="360" w:lineRule="auto"/>
        <w:jc w:val="left"/>
        <w:rPr>
          <w:rFonts w:ascii="宋体" w:hAnsi="宋体" w:cs="宋体"/>
          <w:snapToGrid/>
          <w:kern w:val="2"/>
        </w:rPr>
      </w:pPr>
      <w:bookmarkStart w:id="417" w:name="_Toc10649"/>
      <w:r>
        <w:rPr>
          <w:rFonts w:hint="eastAsia" w:ascii="宋体" w:hAnsi="宋体" w:cs="宋体"/>
          <w:snapToGrid/>
          <w:kern w:val="2"/>
        </w:rPr>
        <w:t>3.17</w:t>
      </w:r>
      <w:r>
        <w:rPr>
          <w:rFonts w:hint="eastAsia" w:ascii="宋体" w:hAnsi="宋体" w:cs="宋体"/>
          <w:snapToGrid/>
          <w:kern w:val="2"/>
          <w:lang w:val="en-US" w:eastAsia="zh-CN"/>
        </w:rPr>
        <w:t xml:space="preserve"> </w:t>
      </w:r>
      <w:r>
        <w:rPr>
          <w:rFonts w:hint="eastAsia" w:ascii="宋体" w:hAnsi="宋体" w:cs="宋体"/>
          <w:snapToGrid/>
          <w:kern w:val="2"/>
        </w:rPr>
        <w:t>本章小结</w:t>
      </w:r>
      <w:bookmarkEnd w:id="414"/>
      <w:bookmarkEnd w:id="415"/>
      <w:bookmarkEnd w:id="416"/>
      <w:bookmarkEnd w:id="417"/>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根据该项目生产过程中的工艺特点及物料特性和危险、有害因素分析的情况，其主要危险、危害因素有：火灾爆炸、中毒窒息、机械伤害、车辆伤害、触电、物体打击、高处坠落、噪声、雷电危害、坍塌等。</w:t>
      </w:r>
    </w:p>
    <w:bookmarkEnd w:id="293"/>
    <w:p>
      <w:pPr>
        <w:rPr>
          <w:rFonts w:ascii="宋体" w:hAnsi="宋体" w:cs="宋体"/>
          <w:sz w:val="36"/>
          <w:szCs w:val="36"/>
        </w:rPr>
      </w:pPr>
      <w:bookmarkStart w:id="418" w:name="_Toc212374282"/>
      <w:bookmarkStart w:id="419" w:name="_Toc277859066"/>
      <w:bookmarkStart w:id="420" w:name="_Toc206837946"/>
      <w:bookmarkStart w:id="421" w:name="_Toc174346752"/>
      <w:bookmarkStart w:id="422" w:name="_Toc204424788"/>
      <w:bookmarkStart w:id="423" w:name="_Toc204076707"/>
      <w:bookmarkStart w:id="424" w:name="_Toc162433932"/>
      <w:bookmarkStart w:id="425" w:name="_Toc162424938"/>
      <w:bookmarkStart w:id="426" w:name="_Toc137467082"/>
      <w:bookmarkStart w:id="427" w:name="_Toc124136475"/>
      <w:r>
        <w:rPr>
          <w:rFonts w:hint="eastAsia" w:ascii="宋体" w:hAnsi="宋体" w:cs="宋体"/>
          <w:sz w:val="36"/>
          <w:szCs w:val="36"/>
        </w:rPr>
        <w:br w:type="page"/>
      </w:r>
    </w:p>
    <w:p>
      <w:pPr>
        <w:pStyle w:val="3"/>
        <w:keepNext w:val="0"/>
        <w:keepLines w:val="0"/>
        <w:snapToGrid w:val="0"/>
        <w:spacing w:before="0" w:after="0" w:line="360" w:lineRule="auto"/>
        <w:rPr>
          <w:rFonts w:ascii="宋体" w:hAnsi="宋体" w:cs="宋体"/>
          <w:sz w:val="36"/>
          <w:szCs w:val="36"/>
        </w:rPr>
      </w:pPr>
      <w:bookmarkStart w:id="428" w:name="_Toc28682"/>
      <w:r>
        <w:rPr>
          <w:rFonts w:hint="eastAsia" w:ascii="宋体" w:hAnsi="宋体" w:cs="宋体"/>
          <w:sz w:val="36"/>
          <w:szCs w:val="36"/>
        </w:rPr>
        <w:t xml:space="preserve">4 </w:t>
      </w:r>
      <w:bookmarkEnd w:id="418"/>
      <w:bookmarkEnd w:id="419"/>
      <w:bookmarkEnd w:id="420"/>
      <w:r>
        <w:rPr>
          <w:rFonts w:hint="eastAsia" w:ascii="宋体" w:hAnsi="宋体" w:cs="宋体"/>
          <w:sz w:val="36"/>
          <w:szCs w:val="36"/>
        </w:rPr>
        <w:t>评价单元划分和评价方法选择</w:t>
      </w:r>
      <w:bookmarkEnd w:id="428"/>
    </w:p>
    <w:bookmarkEnd w:id="421"/>
    <w:bookmarkEnd w:id="422"/>
    <w:bookmarkEnd w:id="423"/>
    <w:bookmarkEnd w:id="424"/>
    <w:bookmarkEnd w:id="425"/>
    <w:bookmarkEnd w:id="426"/>
    <w:p>
      <w:pPr>
        <w:pStyle w:val="4"/>
        <w:keepNext w:val="0"/>
        <w:keepLines w:val="0"/>
        <w:snapToGrid w:val="0"/>
        <w:spacing w:before="0" w:after="0" w:line="360" w:lineRule="auto"/>
        <w:jc w:val="left"/>
        <w:rPr>
          <w:rFonts w:ascii="宋体" w:hAnsi="宋体" w:cs="宋体"/>
          <w:snapToGrid/>
          <w:kern w:val="2"/>
        </w:rPr>
      </w:pPr>
      <w:bookmarkStart w:id="429" w:name="_Toc515093525"/>
      <w:bookmarkStart w:id="430" w:name="_Toc278151410"/>
      <w:bookmarkStart w:id="431" w:name="_Toc16524"/>
      <w:bookmarkStart w:id="432" w:name="_Toc216867551"/>
      <w:bookmarkStart w:id="433" w:name="_Toc204424791"/>
      <w:r>
        <w:rPr>
          <w:rFonts w:hint="eastAsia" w:ascii="宋体" w:hAnsi="宋体" w:cs="宋体"/>
          <w:snapToGrid/>
          <w:kern w:val="2"/>
        </w:rPr>
        <w:t>4.1</w:t>
      </w:r>
      <w:r>
        <w:rPr>
          <w:rFonts w:hint="eastAsia" w:ascii="宋体" w:hAnsi="宋体" w:cs="宋体"/>
          <w:snapToGrid/>
          <w:kern w:val="2"/>
          <w:lang w:val="en-US" w:eastAsia="zh-CN"/>
        </w:rPr>
        <w:t xml:space="preserve"> </w:t>
      </w:r>
      <w:r>
        <w:rPr>
          <w:rFonts w:hint="eastAsia" w:ascii="宋体" w:hAnsi="宋体" w:cs="宋体"/>
          <w:snapToGrid/>
          <w:kern w:val="2"/>
        </w:rPr>
        <w:t>评价单元划分</w:t>
      </w:r>
      <w:bookmarkEnd w:id="429"/>
      <w:bookmarkEnd w:id="430"/>
      <w:bookmarkEnd w:id="431"/>
      <w:bookmarkEnd w:id="432"/>
    </w:p>
    <w:p>
      <w:pPr>
        <w:pStyle w:val="5"/>
        <w:keepNext w:val="0"/>
        <w:keepLines w:val="0"/>
        <w:snapToGrid w:val="0"/>
        <w:spacing w:before="0" w:after="0" w:line="360" w:lineRule="auto"/>
        <w:jc w:val="left"/>
        <w:rPr>
          <w:rFonts w:ascii="宋体" w:hAnsi="宋体" w:cs="宋体"/>
          <w:sz w:val="28"/>
          <w:szCs w:val="28"/>
        </w:rPr>
      </w:pPr>
      <w:bookmarkStart w:id="434" w:name="_Toc278151411"/>
      <w:bookmarkStart w:id="435" w:name="_Toc515093526"/>
      <w:bookmarkStart w:id="436" w:name="_Toc27956"/>
      <w:bookmarkStart w:id="437" w:name="_Toc216867552"/>
      <w:r>
        <w:rPr>
          <w:rFonts w:hint="eastAsia" w:ascii="宋体" w:hAnsi="宋体" w:cs="宋体"/>
          <w:sz w:val="28"/>
          <w:szCs w:val="28"/>
        </w:rPr>
        <w:t>4.1.1</w:t>
      </w:r>
      <w:r>
        <w:rPr>
          <w:rFonts w:hint="eastAsia" w:ascii="宋体" w:hAnsi="宋体" w:cs="宋体"/>
          <w:sz w:val="28"/>
          <w:szCs w:val="28"/>
          <w:lang w:val="en-US" w:eastAsia="zh-CN"/>
        </w:rPr>
        <w:t xml:space="preserve"> </w:t>
      </w:r>
      <w:r>
        <w:rPr>
          <w:rFonts w:hint="eastAsia" w:ascii="宋体" w:hAnsi="宋体" w:cs="宋体"/>
          <w:sz w:val="28"/>
          <w:szCs w:val="28"/>
        </w:rPr>
        <w:t>评价单元划分原则</w:t>
      </w:r>
      <w:bookmarkEnd w:id="434"/>
      <w:bookmarkEnd w:id="435"/>
      <w:bookmarkEnd w:id="436"/>
      <w:bookmarkEnd w:id="437"/>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在危险评价过程中，为了方便评价工作的具体实施，确定正确的评价方法，通常需要把评价对象按照一定的原则进行分解，把一个复杂的系统划分为数个相对独立，便于评价操作、灾害控制、安全管理的单元，分别进行评价后，再合成各单元的评价结果，这种对评价对象的分解，叫做评价单元划分。</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评价单元划分要便于评价工作的进行，有利于提高评价工作的准确性。评价单元的划分，一般将生产工艺、工艺装置、物料的特点和特征与危险、有害因素的类别、分布有机结合进行划分，还可以按评价的需要将一个评价单元再划分为若干子评价单元或更细致的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按照安全评价的要求，评价单元的划分应根据评价对象的实际情况和选择的评价方法，按照以下原则划分安全评价单元：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1.以危险、有害因素的类别划分；</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2.以装置、设施和工艺流程的特征划分；</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3.将安全管理、外部周边情况分别划分为一个评价单元。</w:t>
      </w:r>
    </w:p>
    <w:p>
      <w:pPr>
        <w:pStyle w:val="5"/>
        <w:keepNext w:val="0"/>
        <w:keepLines w:val="0"/>
        <w:snapToGrid w:val="0"/>
        <w:spacing w:before="0" w:after="0" w:line="360" w:lineRule="auto"/>
        <w:jc w:val="left"/>
        <w:rPr>
          <w:rFonts w:ascii="宋体" w:hAnsi="宋体" w:cs="宋体"/>
          <w:sz w:val="28"/>
          <w:szCs w:val="28"/>
        </w:rPr>
      </w:pPr>
      <w:bookmarkStart w:id="438" w:name="_Toc216867553"/>
      <w:bookmarkStart w:id="439" w:name="_Toc515093527"/>
      <w:bookmarkStart w:id="440" w:name="_Toc278151412"/>
      <w:bookmarkStart w:id="441" w:name="_Toc12199"/>
      <w:r>
        <w:rPr>
          <w:rFonts w:hint="eastAsia" w:ascii="宋体" w:hAnsi="宋体" w:cs="宋体"/>
          <w:sz w:val="28"/>
          <w:szCs w:val="28"/>
        </w:rPr>
        <w:t>4.1.2</w:t>
      </w:r>
      <w:r>
        <w:rPr>
          <w:rFonts w:hint="eastAsia" w:ascii="宋体" w:hAnsi="宋体" w:cs="宋体"/>
          <w:sz w:val="28"/>
          <w:szCs w:val="28"/>
          <w:lang w:val="en-US" w:eastAsia="zh-CN"/>
        </w:rPr>
        <w:t xml:space="preserve"> </w:t>
      </w:r>
      <w:r>
        <w:rPr>
          <w:rFonts w:hint="eastAsia" w:ascii="宋体" w:hAnsi="宋体" w:cs="宋体"/>
          <w:sz w:val="28"/>
          <w:szCs w:val="28"/>
        </w:rPr>
        <w:t>评价单元划分方法</w:t>
      </w:r>
      <w:bookmarkEnd w:id="438"/>
      <w:bookmarkEnd w:id="439"/>
      <w:bookmarkEnd w:id="440"/>
      <w:bookmarkEnd w:id="441"/>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划分评价单元的方法主要有两类，一是以危险、有害因素的类别为主来划分；二是以生产工艺装置或场所为主来划分。常用的评价单元划分方法有：</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以危险、有害因素的类别为主划分评价单元。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（1）对工艺方案、总体布置及自然条件、环境对系统影响等综合方面的危险、有害因素的分析和评价，可将整个系统作为一个评价单元；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（2）将具有共性危险因素、有害因素的场所和装置划为一个单元。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以装置和物质特征划分评价单元。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（1）按装置工艺功能划分；</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（2）按布置的相对独立性划分；</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（3）按工艺条件划分评价单元；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（4）按贮存、处理危险物品的潜在化学能、毒性和危险物品的数量划分评价单元；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（5）根据以往事故资料，将发生事故能导致停产、波及范围大、造成巨大损失和伤害的关键设备作为一个单元；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（6）将危险性大且资金密度大的区域作为一个评价单元；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（7）将危险性特别大的区域、装置作为一个评价单元；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（8）将具有类似危险性潜能的单元合并为一个大单元。</w:t>
      </w:r>
    </w:p>
    <w:p>
      <w:pPr>
        <w:pStyle w:val="5"/>
        <w:keepNext w:val="0"/>
        <w:keepLines w:val="0"/>
        <w:snapToGrid w:val="0"/>
        <w:spacing w:before="0" w:after="0" w:line="360" w:lineRule="auto"/>
        <w:jc w:val="left"/>
        <w:rPr>
          <w:rFonts w:ascii="宋体" w:hAnsi="宋体" w:cs="宋体"/>
          <w:sz w:val="28"/>
          <w:szCs w:val="28"/>
        </w:rPr>
      </w:pPr>
      <w:bookmarkStart w:id="442" w:name="_Toc26169"/>
      <w:bookmarkStart w:id="443" w:name="_Toc515093528"/>
      <w:bookmarkStart w:id="444" w:name="_Toc172021616"/>
      <w:bookmarkStart w:id="445" w:name="_Toc121910255"/>
      <w:bookmarkStart w:id="446" w:name="_Toc278151413"/>
      <w:r>
        <w:rPr>
          <w:rFonts w:hint="eastAsia" w:ascii="宋体" w:hAnsi="宋体" w:cs="宋体"/>
          <w:sz w:val="28"/>
          <w:szCs w:val="28"/>
        </w:rPr>
        <w:t>4.1.3</w:t>
      </w:r>
      <w:r>
        <w:rPr>
          <w:rFonts w:hint="eastAsia" w:ascii="宋体" w:hAnsi="宋体" w:cs="宋体"/>
          <w:sz w:val="28"/>
          <w:szCs w:val="28"/>
          <w:lang w:val="en-US" w:eastAsia="zh-CN"/>
        </w:rPr>
        <w:t xml:space="preserve"> </w:t>
      </w:r>
      <w:r>
        <w:rPr>
          <w:rFonts w:hint="eastAsia" w:ascii="宋体" w:hAnsi="宋体" w:cs="宋体"/>
          <w:sz w:val="28"/>
          <w:szCs w:val="28"/>
        </w:rPr>
        <w:t>评价单元的划分</w:t>
      </w:r>
      <w:bookmarkEnd w:id="442"/>
      <w:bookmarkEnd w:id="443"/>
      <w:bookmarkEnd w:id="444"/>
      <w:bookmarkEnd w:id="445"/>
      <w:bookmarkEnd w:id="446"/>
    </w:p>
    <w:p>
      <w:pPr>
        <w:snapToGrid w:val="0"/>
        <w:spacing w:line="360" w:lineRule="auto"/>
        <w:ind w:firstLine="482"/>
        <w:rPr>
          <w:snapToGrid w:val="0"/>
          <w:kern w:val="0"/>
          <w:sz w:val="28"/>
          <w:szCs w:val="28"/>
        </w:rPr>
      </w:pPr>
      <w:bookmarkStart w:id="447" w:name="_Toc278151414"/>
      <w:bookmarkStart w:id="448" w:name="_Toc121910247"/>
      <w:bookmarkStart w:id="449" w:name="_Toc172021608"/>
      <w:bookmarkStart w:id="450" w:name="_Toc515093529"/>
      <w:r>
        <w:rPr>
          <w:rFonts w:hint="eastAsia"/>
          <w:snapToGrid w:val="0"/>
          <w:kern w:val="0"/>
          <w:sz w:val="28"/>
          <w:szCs w:val="28"/>
        </w:rPr>
        <w:t>根据上述安全评价单元的划分原则和本项目生产的特点和危险因素的存在区域，分为六个评价单元，进行分析评价。评价单元划分如下：</w:t>
      </w:r>
    </w:p>
    <w:p>
      <w:pPr>
        <w:numPr>
          <w:ilvl w:val="0"/>
          <w:numId w:val="12"/>
        </w:numPr>
        <w:snapToGrid w:val="0"/>
        <w:spacing w:line="360" w:lineRule="auto"/>
        <w:ind w:firstLine="482"/>
        <w:rPr>
          <w:snapToGrid w:val="0"/>
          <w:kern w:val="0"/>
          <w:sz w:val="28"/>
          <w:szCs w:val="28"/>
        </w:rPr>
      </w:pPr>
      <w:r>
        <w:rPr>
          <w:rFonts w:hint="eastAsia"/>
          <w:snapToGrid w:val="0"/>
          <w:kern w:val="0"/>
          <w:sz w:val="28"/>
          <w:szCs w:val="28"/>
        </w:rPr>
        <w:t>“三同时”符合性分析评价单元：</w:t>
      </w:r>
    </w:p>
    <w:p>
      <w:pPr>
        <w:numPr>
          <w:ilvl w:val="0"/>
          <w:numId w:val="12"/>
        </w:numPr>
        <w:snapToGrid w:val="0"/>
        <w:spacing w:line="360" w:lineRule="auto"/>
        <w:ind w:firstLine="482"/>
        <w:rPr>
          <w:snapToGrid w:val="0"/>
          <w:kern w:val="0"/>
          <w:sz w:val="28"/>
          <w:szCs w:val="28"/>
        </w:rPr>
      </w:pPr>
      <w:r>
        <w:rPr>
          <w:rFonts w:hint="eastAsia"/>
          <w:snapToGrid w:val="0"/>
          <w:kern w:val="0"/>
          <w:sz w:val="28"/>
          <w:szCs w:val="28"/>
        </w:rPr>
        <w:t>总平面布置分析评价单元；</w:t>
      </w:r>
    </w:p>
    <w:p>
      <w:pPr>
        <w:numPr>
          <w:ilvl w:val="0"/>
          <w:numId w:val="12"/>
        </w:numPr>
        <w:snapToGrid w:val="0"/>
        <w:spacing w:line="360" w:lineRule="auto"/>
        <w:ind w:firstLine="482"/>
        <w:rPr>
          <w:snapToGrid w:val="0"/>
          <w:kern w:val="0"/>
          <w:sz w:val="28"/>
          <w:szCs w:val="28"/>
        </w:rPr>
      </w:pPr>
      <w:r>
        <w:rPr>
          <w:rFonts w:hint="eastAsia"/>
          <w:snapToGrid w:val="0"/>
          <w:kern w:val="0"/>
          <w:sz w:val="28"/>
          <w:szCs w:val="28"/>
        </w:rPr>
        <w:t>生产工艺及设备设施分析评价单元；</w:t>
      </w:r>
    </w:p>
    <w:p>
      <w:pPr>
        <w:snapToGrid w:val="0"/>
        <w:spacing w:line="360" w:lineRule="auto"/>
        <w:ind w:firstLine="482"/>
        <w:rPr>
          <w:snapToGrid w:val="0"/>
          <w:kern w:val="0"/>
          <w:sz w:val="28"/>
          <w:szCs w:val="28"/>
        </w:rPr>
      </w:pPr>
      <w:r>
        <w:rPr>
          <w:rFonts w:hint="eastAsia"/>
          <w:snapToGrid w:val="0"/>
          <w:kern w:val="0"/>
          <w:sz w:val="28"/>
          <w:szCs w:val="28"/>
        </w:rPr>
        <w:t>4.安全设施设计符合性评价单元；</w:t>
      </w:r>
    </w:p>
    <w:p>
      <w:pPr>
        <w:snapToGrid w:val="0"/>
        <w:spacing w:line="360" w:lineRule="auto"/>
        <w:ind w:firstLine="482"/>
        <w:rPr>
          <w:snapToGrid w:val="0"/>
          <w:kern w:val="0"/>
          <w:sz w:val="28"/>
          <w:szCs w:val="28"/>
        </w:rPr>
      </w:pPr>
      <w:r>
        <w:rPr>
          <w:rFonts w:hint="eastAsia"/>
          <w:snapToGrid w:val="0"/>
          <w:kern w:val="0"/>
          <w:sz w:val="28"/>
          <w:szCs w:val="28"/>
        </w:rPr>
        <w:t>5.公辅设施分析评价单元：</w:t>
      </w:r>
    </w:p>
    <w:p>
      <w:pPr>
        <w:snapToGrid w:val="0"/>
        <w:spacing w:line="360" w:lineRule="auto"/>
        <w:ind w:firstLine="921" w:firstLineChars="329"/>
        <w:rPr>
          <w:snapToGrid w:val="0"/>
          <w:kern w:val="0"/>
          <w:sz w:val="28"/>
          <w:szCs w:val="28"/>
        </w:rPr>
      </w:pPr>
      <w:r>
        <w:rPr>
          <w:rFonts w:hint="eastAsia"/>
          <w:snapToGrid w:val="0"/>
          <w:kern w:val="0"/>
          <w:sz w:val="28"/>
          <w:szCs w:val="28"/>
        </w:rPr>
        <w:t>（1）供配电系统评价子单元；</w:t>
      </w:r>
    </w:p>
    <w:p>
      <w:pPr>
        <w:snapToGrid w:val="0"/>
        <w:spacing w:line="360" w:lineRule="auto"/>
        <w:ind w:firstLine="921" w:firstLineChars="329"/>
        <w:rPr>
          <w:snapToGrid w:val="0"/>
          <w:kern w:val="0"/>
          <w:sz w:val="28"/>
          <w:szCs w:val="28"/>
        </w:rPr>
      </w:pPr>
      <w:r>
        <w:rPr>
          <w:rFonts w:hint="eastAsia"/>
          <w:snapToGrid w:val="0"/>
          <w:kern w:val="0"/>
          <w:sz w:val="28"/>
          <w:szCs w:val="28"/>
        </w:rPr>
        <w:t>（2）消防系统评价子单元；</w:t>
      </w:r>
    </w:p>
    <w:p>
      <w:pPr>
        <w:snapToGrid w:val="0"/>
        <w:spacing w:line="360" w:lineRule="auto"/>
        <w:ind w:firstLine="921" w:firstLineChars="329"/>
        <w:rPr>
          <w:snapToGrid w:val="0"/>
          <w:kern w:val="0"/>
          <w:sz w:val="28"/>
          <w:szCs w:val="28"/>
        </w:rPr>
      </w:pPr>
      <w:r>
        <w:rPr>
          <w:rFonts w:hint="eastAsia"/>
          <w:snapToGrid w:val="0"/>
          <w:kern w:val="0"/>
          <w:sz w:val="28"/>
          <w:szCs w:val="28"/>
        </w:rPr>
        <w:t>（3）安全警示标志、安全色子单元；</w:t>
      </w:r>
    </w:p>
    <w:p>
      <w:pPr>
        <w:snapToGrid w:val="0"/>
        <w:spacing w:line="360" w:lineRule="auto"/>
        <w:ind w:firstLine="921" w:firstLineChars="329"/>
        <w:rPr>
          <w:snapToGrid w:val="0"/>
          <w:kern w:val="0"/>
          <w:sz w:val="28"/>
          <w:szCs w:val="28"/>
        </w:rPr>
      </w:pPr>
      <w:r>
        <w:rPr>
          <w:rFonts w:hint="eastAsia"/>
          <w:snapToGrid w:val="0"/>
          <w:kern w:val="0"/>
          <w:sz w:val="28"/>
          <w:szCs w:val="28"/>
        </w:rPr>
        <w:t>（4）特种设备及强制检测设施子单元；</w:t>
      </w:r>
    </w:p>
    <w:p>
      <w:pPr>
        <w:snapToGrid w:val="0"/>
        <w:spacing w:line="360" w:lineRule="auto"/>
        <w:ind w:firstLine="921" w:firstLineChars="329"/>
        <w:rPr>
          <w:snapToGrid w:val="0"/>
          <w:kern w:val="0"/>
          <w:sz w:val="28"/>
          <w:szCs w:val="28"/>
        </w:rPr>
      </w:pPr>
      <w:r>
        <w:rPr>
          <w:rFonts w:hint="eastAsia"/>
          <w:snapToGrid w:val="0"/>
          <w:kern w:val="0"/>
          <w:sz w:val="28"/>
          <w:szCs w:val="28"/>
        </w:rPr>
        <w:t>（5）供气评价子单元。</w:t>
      </w:r>
    </w:p>
    <w:p>
      <w:pPr>
        <w:tabs>
          <w:tab w:val="left" w:pos="945"/>
          <w:tab w:val="left" w:pos="3900"/>
        </w:tabs>
        <w:adjustRightInd w:val="0"/>
        <w:snapToGrid w:val="0"/>
        <w:spacing w:line="360" w:lineRule="auto"/>
        <w:ind w:firstLine="573"/>
        <w:rPr>
          <w:snapToGrid w:val="0"/>
          <w:kern w:val="0"/>
          <w:sz w:val="28"/>
          <w:szCs w:val="28"/>
        </w:rPr>
      </w:pPr>
      <w:r>
        <w:rPr>
          <w:rFonts w:hint="eastAsia"/>
          <w:snapToGrid w:val="0"/>
          <w:kern w:val="0"/>
          <w:sz w:val="28"/>
          <w:szCs w:val="28"/>
        </w:rPr>
        <w:t>6.安全管理分析评价单元；</w:t>
      </w:r>
    </w:p>
    <w:p>
      <w:pPr>
        <w:pStyle w:val="4"/>
        <w:keepNext w:val="0"/>
        <w:keepLines w:val="0"/>
        <w:snapToGrid w:val="0"/>
        <w:spacing w:before="0" w:after="0" w:line="360" w:lineRule="auto"/>
        <w:jc w:val="left"/>
        <w:rPr>
          <w:rFonts w:ascii="宋体" w:hAnsi="宋体" w:cs="宋体"/>
          <w:snapToGrid/>
          <w:kern w:val="2"/>
        </w:rPr>
      </w:pPr>
      <w:bookmarkStart w:id="451" w:name="_Toc817"/>
      <w:r>
        <w:rPr>
          <w:rFonts w:hint="eastAsia" w:ascii="宋体" w:hAnsi="宋体" w:cs="宋体"/>
          <w:snapToGrid/>
          <w:kern w:val="2"/>
        </w:rPr>
        <w:t>4.2</w:t>
      </w:r>
      <w:r>
        <w:rPr>
          <w:rFonts w:hint="eastAsia" w:ascii="宋体" w:hAnsi="宋体" w:cs="宋体"/>
          <w:snapToGrid/>
          <w:kern w:val="2"/>
          <w:lang w:val="en-US" w:eastAsia="zh-CN"/>
        </w:rPr>
        <w:t xml:space="preserve"> </w:t>
      </w:r>
      <w:r>
        <w:rPr>
          <w:rFonts w:hint="eastAsia" w:ascii="宋体" w:hAnsi="宋体" w:cs="宋体"/>
          <w:snapToGrid/>
          <w:kern w:val="2"/>
        </w:rPr>
        <w:t>评价方法的选择</w:t>
      </w:r>
      <w:bookmarkEnd w:id="447"/>
      <w:bookmarkEnd w:id="448"/>
      <w:bookmarkEnd w:id="449"/>
      <w:bookmarkEnd w:id="450"/>
      <w:bookmarkEnd w:id="451"/>
    </w:p>
    <w:p>
      <w:pPr>
        <w:pStyle w:val="5"/>
        <w:keepNext w:val="0"/>
        <w:keepLines w:val="0"/>
        <w:snapToGrid w:val="0"/>
        <w:spacing w:before="0" w:after="0" w:line="360" w:lineRule="auto"/>
        <w:jc w:val="left"/>
        <w:rPr>
          <w:rFonts w:ascii="宋体" w:hAnsi="宋体" w:cs="宋体"/>
          <w:sz w:val="28"/>
          <w:szCs w:val="28"/>
        </w:rPr>
      </w:pPr>
      <w:bookmarkStart w:id="452" w:name="_Toc487575189"/>
      <w:bookmarkStart w:id="453" w:name="_Toc9822"/>
      <w:bookmarkStart w:id="454" w:name="_Toc525114779"/>
      <w:bookmarkStart w:id="455" w:name="_Toc31476"/>
      <w:bookmarkStart w:id="456" w:name="_Toc527470654"/>
      <w:bookmarkStart w:id="457" w:name="_Toc228243173"/>
      <w:bookmarkStart w:id="458" w:name="_Toc56685659"/>
      <w:bookmarkStart w:id="459" w:name="_Toc502479824"/>
      <w:bookmarkStart w:id="460" w:name="_Toc231615795"/>
      <w:r>
        <w:rPr>
          <w:rFonts w:hint="eastAsia" w:ascii="宋体" w:hAnsi="宋体" w:cs="宋体"/>
          <w:sz w:val="28"/>
          <w:szCs w:val="28"/>
        </w:rPr>
        <w:t>4.2.1 评价方法选择理由</w:t>
      </w:r>
      <w:bookmarkEnd w:id="452"/>
      <w:bookmarkEnd w:id="453"/>
      <w:bookmarkEnd w:id="454"/>
      <w:bookmarkEnd w:id="455"/>
      <w:bookmarkEnd w:id="456"/>
      <w:bookmarkEnd w:id="457"/>
      <w:bookmarkEnd w:id="458"/>
      <w:bookmarkEnd w:id="459"/>
      <w:bookmarkEnd w:id="460"/>
    </w:p>
    <w:p>
      <w:pPr>
        <w:snapToGrid w:val="0"/>
        <w:spacing w:line="360" w:lineRule="auto"/>
        <w:ind w:firstLine="482"/>
        <w:rPr>
          <w:snapToGrid w:val="0"/>
          <w:kern w:val="0"/>
          <w:sz w:val="28"/>
          <w:szCs w:val="28"/>
        </w:rPr>
      </w:pPr>
      <w:r>
        <w:rPr>
          <w:rFonts w:hint="eastAsia"/>
          <w:snapToGrid w:val="0"/>
          <w:kern w:val="0"/>
          <w:sz w:val="28"/>
          <w:szCs w:val="28"/>
        </w:rPr>
        <w:t>安全评价方法是对系统的危险因素、危害因素及其危险、危害程度进行分析、评价的方法。目前，已有数十种不同特点、适用不同范围和应用条件的评价方法。按其特性可分为定性安全评价和定量安全评价。鉴于被评价单位的实际情况和从评价效果出发，在实施评价时，我们采用的评价方法主要是：安全检查法、安全检查表法、重大危险源辨识法、事故树分析法等。下面分别对这些评价方法作一个简单介绍。</w:t>
      </w:r>
    </w:p>
    <w:p>
      <w:pPr>
        <w:pStyle w:val="5"/>
        <w:keepNext w:val="0"/>
        <w:keepLines w:val="0"/>
        <w:snapToGrid w:val="0"/>
        <w:spacing w:before="0" w:after="0" w:line="360" w:lineRule="auto"/>
        <w:jc w:val="left"/>
        <w:rPr>
          <w:rFonts w:ascii="宋体" w:hAnsi="宋体" w:cs="宋体"/>
          <w:sz w:val="28"/>
          <w:szCs w:val="28"/>
        </w:rPr>
      </w:pPr>
      <w:bookmarkStart w:id="461" w:name="_Toc13722"/>
      <w:bookmarkStart w:id="462" w:name="_Toc231615796"/>
      <w:bookmarkStart w:id="463" w:name="_Toc502479825"/>
      <w:bookmarkStart w:id="464" w:name="_Toc525114780"/>
      <w:bookmarkStart w:id="465" w:name="_Toc527470655"/>
      <w:bookmarkStart w:id="466" w:name="_Toc487575190"/>
      <w:bookmarkStart w:id="467" w:name="_Toc56685660"/>
      <w:bookmarkStart w:id="468" w:name="_Toc17356"/>
      <w:bookmarkStart w:id="469" w:name="_Toc228243174"/>
      <w:r>
        <w:rPr>
          <w:rFonts w:hint="eastAsia" w:ascii="宋体" w:hAnsi="宋体" w:cs="宋体"/>
          <w:sz w:val="28"/>
          <w:szCs w:val="28"/>
        </w:rPr>
        <w:t>4.2.2 安全评价方法简介</w:t>
      </w:r>
      <w:bookmarkEnd w:id="461"/>
      <w:bookmarkEnd w:id="462"/>
      <w:bookmarkEnd w:id="463"/>
      <w:bookmarkEnd w:id="464"/>
      <w:bookmarkEnd w:id="465"/>
      <w:bookmarkEnd w:id="466"/>
      <w:bookmarkEnd w:id="467"/>
      <w:bookmarkEnd w:id="468"/>
      <w:bookmarkEnd w:id="469"/>
    </w:p>
    <w:p>
      <w:pPr>
        <w:snapToGrid w:val="0"/>
        <w:spacing w:line="360" w:lineRule="auto"/>
        <w:ind w:firstLine="482"/>
        <w:rPr>
          <w:snapToGrid w:val="0"/>
          <w:kern w:val="0"/>
          <w:sz w:val="28"/>
          <w:szCs w:val="28"/>
        </w:rPr>
      </w:pPr>
      <w:bookmarkStart w:id="470" w:name="_Toc179480103"/>
      <w:bookmarkStart w:id="471" w:name="_Toc196207911"/>
      <w:bookmarkStart w:id="472" w:name="_Toc114562518"/>
      <w:bookmarkStart w:id="473" w:name="_Toc170921690"/>
      <w:r>
        <w:rPr>
          <w:rFonts w:hint="eastAsia"/>
          <w:snapToGrid w:val="0"/>
          <w:kern w:val="0"/>
          <w:sz w:val="28"/>
          <w:szCs w:val="28"/>
        </w:rPr>
        <w:t>安全检查表法</w:t>
      </w:r>
      <w:bookmarkEnd w:id="470"/>
      <w:bookmarkEnd w:id="471"/>
      <w:bookmarkEnd w:id="472"/>
      <w:bookmarkEnd w:id="473"/>
    </w:p>
    <w:p>
      <w:pPr>
        <w:snapToGrid w:val="0"/>
        <w:spacing w:line="360" w:lineRule="auto"/>
        <w:ind w:firstLine="482"/>
        <w:rPr>
          <w:snapToGrid w:val="0"/>
          <w:kern w:val="0"/>
          <w:sz w:val="28"/>
          <w:szCs w:val="28"/>
        </w:rPr>
      </w:pPr>
      <w:r>
        <w:rPr>
          <w:rFonts w:hint="eastAsia"/>
          <w:snapToGrid w:val="0"/>
          <w:kern w:val="0"/>
          <w:sz w:val="28"/>
          <w:szCs w:val="28"/>
        </w:rPr>
        <w:t>安全检查表是为检查某一系统、设备以及各种操作、管理和组织措施中的不安全因素，事先将要检查的项目以提问方式编制成检查表，这种表就叫安全检查表。</w:t>
      </w:r>
    </w:p>
    <w:p>
      <w:pPr>
        <w:snapToGrid w:val="0"/>
        <w:spacing w:line="360" w:lineRule="auto"/>
        <w:ind w:firstLine="482"/>
        <w:rPr>
          <w:snapToGrid w:val="0"/>
          <w:kern w:val="0"/>
          <w:sz w:val="28"/>
          <w:szCs w:val="28"/>
        </w:rPr>
      </w:pPr>
      <w:r>
        <w:rPr>
          <w:rFonts w:hint="eastAsia"/>
          <w:snapToGrid w:val="0"/>
          <w:kern w:val="0"/>
          <w:sz w:val="28"/>
          <w:szCs w:val="28"/>
        </w:rPr>
        <w:t>编制安全检查表要解决落实检查的两个重要问题，“查什么？”和“怎么查”，将安全检查表主要检查的方面考虑到，结合生产企业实际情况，以及国家所颁发的有关法令、规章制度、规程、标准为主要依据，并借鉴了国内外有关危险化学品生产企业的安全管理经验和事故教训制定的自己的安全检查表。对照有关内容列表，对已知的危险类别、设计缺陷以及与一般工艺设备、操作、管理有关的潜在危险、有害性逐条检查，以找出系统中的不安全因素和隐患。</w:t>
      </w:r>
    </w:p>
    <w:p>
      <w:pPr>
        <w:snapToGrid w:val="0"/>
        <w:spacing w:line="360" w:lineRule="auto"/>
        <w:ind w:firstLine="482"/>
        <w:rPr>
          <w:snapToGrid w:val="0"/>
          <w:kern w:val="0"/>
          <w:sz w:val="28"/>
          <w:szCs w:val="28"/>
        </w:rPr>
      </w:pPr>
      <w:r>
        <w:rPr>
          <w:rFonts w:hint="eastAsia"/>
          <w:snapToGrid w:val="0"/>
          <w:kern w:val="0"/>
          <w:sz w:val="28"/>
          <w:szCs w:val="28"/>
        </w:rPr>
        <w:t>安全检查表的主要依据是：</w:t>
      </w:r>
    </w:p>
    <w:p>
      <w:pPr>
        <w:snapToGrid w:val="0"/>
        <w:spacing w:line="360" w:lineRule="auto"/>
        <w:ind w:firstLine="482"/>
        <w:rPr>
          <w:snapToGrid w:val="0"/>
          <w:kern w:val="0"/>
          <w:sz w:val="28"/>
          <w:szCs w:val="28"/>
        </w:rPr>
      </w:pPr>
      <w:r>
        <w:rPr>
          <w:rFonts w:hint="eastAsia"/>
          <w:snapToGrid w:val="0"/>
          <w:kern w:val="0"/>
          <w:sz w:val="28"/>
          <w:szCs w:val="28"/>
        </w:rPr>
        <w:t>（1）有关标准、规程、规范及规定；</w:t>
      </w:r>
    </w:p>
    <w:p>
      <w:pPr>
        <w:snapToGrid w:val="0"/>
        <w:spacing w:line="360" w:lineRule="auto"/>
        <w:ind w:firstLine="482"/>
        <w:rPr>
          <w:snapToGrid w:val="0"/>
          <w:kern w:val="0"/>
          <w:sz w:val="28"/>
          <w:szCs w:val="28"/>
        </w:rPr>
      </w:pPr>
      <w:r>
        <w:rPr>
          <w:rFonts w:hint="eastAsia"/>
          <w:snapToGrid w:val="0"/>
          <w:kern w:val="0"/>
          <w:sz w:val="28"/>
          <w:szCs w:val="28"/>
        </w:rPr>
        <w:t>（2）同类企业安全管理经验及国内外事故案例；</w:t>
      </w:r>
    </w:p>
    <w:p>
      <w:pPr>
        <w:snapToGrid w:val="0"/>
        <w:spacing w:line="360" w:lineRule="auto"/>
        <w:ind w:firstLine="482"/>
        <w:rPr>
          <w:snapToGrid w:val="0"/>
          <w:kern w:val="0"/>
          <w:sz w:val="28"/>
          <w:szCs w:val="28"/>
        </w:rPr>
      </w:pPr>
      <w:r>
        <w:rPr>
          <w:rFonts w:hint="eastAsia"/>
          <w:snapToGrid w:val="0"/>
          <w:kern w:val="0"/>
          <w:sz w:val="28"/>
          <w:szCs w:val="28"/>
        </w:rPr>
        <w:t>（3）通过系统安全分析确定的危险部位及防范措施；</w:t>
      </w:r>
    </w:p>
    <w:p>
      <w:pPr>
        <w:snapToGrid w:val="0"/>
        <w:spacing w:line="360" w:lineRule="auto"/>
        <w:ind w:firstLine="482"/>
        <w:rPr>
          <w:snapToGrid w:val="0"/>
          <w:kern w:val="0"/>
          <w:sz w:val="28"/>
          <w:szCs w:val="28"/>
        </w:rPr>
      </w:pPr>
      <w:r>
        <w:rPr>
          <w:rFonts w:hint="eastAsia"/>
          <w:snapToGrid w:val="0"/>
          <w:kern w:val="0"/>
          <w:sz w:val="28"/>
          <w:szCs w:val="28"/>
        </w:rPr>
        <w:t>（4）有关技术资料。</w:t>
      </w:r>
    </w:p>
    <w:p>
      <w:pPr>
        <w:pStyle w:val="5"/>
        <w:keepNext w:val="0"/>
        <w:keepLines w:val="0"/>
        <w:snapToGrid w:val="0"/>
        <w:spacing w:before="0" w:after="0" w:line="360" w:lineRule="auto"/>
        <w:jc w:val="left"/>
        <w:rPr>
          <w:rFonts w:ascii="宋体" w:hAnsi="宋体" w:cs="宋体"/>
          <w:sz w:val="28"/>
          <w:szCs w:val="28"/>
        </w:rPr>
      </w:pPr>
      <w:bookmarkStart w:id="474" w:name="_Toc245031948"/>
      <w:bookmarkStart w:id="475" w:name="_Toc281516966"/>
      <w:bookmarkStart w:id="476" w:name="_Toc289098616"/>
      <w:bookmarkStart w:id="477" w:name="_Toc430785163"/>
      <w:bookmarkStart w:id="478" w:name="_Toc288572409"/>
      <w:bookmarkStart w:id="479" w:name="_Toc13832"/>
      <w:bookmarkStart w:id="480" w:name="_Toc431285147"/>
      <w:bookmarkStart w:id="481" w:name="_Toc232084171"/>
      <w:bookmarkStart w:id="482" w:name="_Toc26542"/>
      <w:bookmarkStart w:id="483" w:name="_Toc280626293"/>
      <w:bookmarkStart w:id="484" w:name="_Toc245281264"/>
      <w:bookmarkStart w:id="485" w:name="_Toc285268607"/>
      <w:bookmarkStart w:id="486" w:name="_Toc231983433"/>
      <w:bookmarkStart w:id="487" w:name="_Toc231982124"/>
      <w:bookmarkStart w:id="488" w:name="_Toc245108659"/>
      <w:bookmarkStart w:id="489" w:name="_Toc231836007"/>
      <w:bookmarkStart w:id="490" w:name="_Toc16170171"/>
      <w:bookmarkStart w:id="491" w:name="_Toc281087225"/>
      <w:bookmarkStart w:id="492" w:name="_Toc262045279"/>
      <w:bookmarkStart w:id="493" w:name="_Toc262545965"/>
      <w:bookmarkStart w:id="494" w:name="_Toc288831851"/>
      <w:bookmarkStart w:id="495" w:name="_Toc430784597"/>
      <w:bookmarkStart w:id="496" w:name="_Toc290295643"/>
      <w:bookmarkStart w:id="497" w:name="_Toc290394002"/>
      <w:bookmarkStart w:id="498" w:name="_Toc245391069"/>
      <w:r>
        <w:rPr>
          <w:rFonts w:hint="eastAsia" w:ascii="宋体" w:hAnsi="宋体" w:cs="宋体"/>
          <w:sz w:val="28"/>
          <w:szCs w:val="28"/>
        </w:rPr>
        <w:t>4.2.3</w:t>
      </w:r>
      <w:r>
        <w:rPr>
          <w:rFonts w:hint="eastAsia" w:ascii="宋体" w:hAnsi="宋体" w:cs="宋体"/>
          <w:sz w:val="28"/>
          <w:szCs w:val="28"/>
          <w:lang w:val="en-US" w:eastAsia="zh-CN"/>
        </w:rPr>
        <w:t xml:space="preserve"> </w:t>
      </w:r>
      <w:r>
        <w:rPr>
          <w:rFonts w:hint="eastAsia" w:ascii="宋体" w:hAnsi="宋体" w:cs="宋体"/>
          <w:sz w:val="28"/>
          <w:szCs w:val="28"/>
        </w:rPr>
        <w:t>各单元采用的评价方法汇总</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spacing w:line="360" w:lineRule="auto"/>
        <w:jc w:val="center"/>
        <w:rPr>
          <w:rFonts w:ascii="宋体" w:hAnsi="宋体"/>
          <w:sz w:val="24"/>
        </w:rPr>
      </w:pPr>
      <w:r>
        <w:rPr>
          <w:rFonts w:hint="eastAsia" w:ascii="宋体" w:hAnsi="宋体"/>
          <w:sz w:val="24"/>
        </w:rPr>
        <w:t>表4-1评价方法汇总表</w:t>
      </w:r>
    </w:p>
    <w:tbl>
      <w:tblPr>
        <w:tblStyle w:val="52"/>
        <w:tblW w:w="486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4206"/>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07" w:type="pct"/>
            <w:noWrap/>
            <w:vAlign w:val="center"/>
          </w:tcPr>
          <w:p>
            <w:pPr>
              <w:jc w:val="center"/>
              <w:rPr>
                <w:rFonts w:ascii="宋体" w:hAnsi="宋体"/>
                <w:b/>
                <w:bCs/>
                <w:szCs w:val="21"/>
              </w:rPr>
            </w:pPr>
            <w:r>
              <w:rPr>
                <w:rFonts w:hint="eastAsia" w:ascii="宋体" w:hAnsi="宋体"/>
                <w:b/>
                <w:bCs/>
                <w:szCs w:val="21"/>
              </w:rPr>
              <w:t>序 号</w:t>
            </w:r>
          </w:p>
        </w:tc>
        <w:tc>
          <w:tcPr>
            <w:tcW w:w="2300" w:type="pct"/>
            <w:noWrap/>
            <w:vAlign w:val="center"/>
          </w:tcPr>
          <w:p>
            <w:pPr>
              <w:jc w:val="center"/>
              <w:rPr>
                <w:rFonts w:ascii="宋体" w:hAnsi="宋体"/>
                <w:b/>
                <w:bCs/>
                <w:szCs w:val="21"/>
              </w:rPr>
            </w:pPr>
            <w:r>
              <w:rPr>
                <w:rFonts w:hint="eastAsia" w:ascii="宋体" w:hAnsi="宋体"/>
                <w:b/>
                <w:bCs/>
                <w:szCs w:val="21"/>
              </w:rPr>
              <w:t>评价单元名称</w:t>
            </w:r>
          </w:p>
        </w:tc>
        <w:tc>
          <w:tcPr>
            <w:tcW w:w="2292" w:type="pct"/>
            <w:noWrap/>
            <w:vAlign w:val="center"/>
          </w:tcPr>
          <w:p>
            <w:pPr>
              <w:jc w:val="center"/>
              <w:rPr>
                <w:rFonts w:ascii="宋体" w:hAnsi="宋体"/>
                <w:b/>
                <w:bCs/>
                <w:szCs w:val="21"/>
              </w:rPr>
            </w:pPr>
            <w:r>
              <w:rPr>
                <w:rFonts w:hint="eastAsia" w:ascii="宋体" w:hAnsi="宋体"/>
                <w:b/>
                <w:bCs/>
                <w:szCs w:val="21"/>
              </w:rPr>
              <w:t>采用的评价方法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07" w:type="pct"/>
            <w:noWrap/>
            <w:vAlign w:val="center"/>
          </w:tcPr>
          <w:p>
            <w:pPr>
              <w:jc w:val="center"/>
              <w:rPr>
                <w:rFonts w:ascii="宋体" w:hAnsi="宋体"/>
                <w:szCs w:val="21"/>
              </w:rPr>
            </w:pPr>
            <w:r>
              <w:rPr>
                <w:rFonts w:hint="eastAsia" w:ascii="宋体" w:hAnsi="宋体"/>
                <w:szCs w:val="21"/>
              </w:rPr>
              <w:t>1</w:t>
            </w:r>
          </w:p>
        </w:tc>
        <w:tc>
          <w:tcPr>
            <w:tcW w:w="2300" w:type="pct"/>
            <w:noWrap/>
            <w:vAlign w:val="center"/>
          </w:tcPr>
          <w:p>
            <w:pPr>
              <w:jc w:val="center"/>
              <w:rPr>
                <w:rFonts w:ascii="宋体" w:hAnsi="宋体"/>
                <w:szCs w:val="21"/>
              </w:rPr>
            </w:pPr>
            <w:r>
              <w:rPr>
                <w:rFonts w:hint="eastAsia" w:ascii="宋体" w:hAnsi="宋体"/>
                <w:szCs w:val="21"/>
              </w:rPr>
              <w:t>建设项目安全设施“三同时”分析评价单元</w:t>
            </w:r>
          </w:p>
        </w:tc>
        <w:tc>
          <w:tcPr>
            <w:tcW w:w="2292" w:type="pct"/>
            <w:noWrap/>
            <w:vAlign w:val="center"/>
          </w:tcPr>
          <w:p>
            <w:pPr>
              <w:jc w:val="center"/>
              <w:rPr>
                <w:rFonts w:ascii="宋体" w:hAnsi="宋体"/>
                <w:szCs w:val="21"/>
              </w:rPr>
            </w:pPr>
            <w:r>
              <w:rPr>
                <w:rFonts w:hint="eastAsia" w:ascii="宋体" w:hAnsi="宋体"/>
                <w:szCs w:val="21"/>
              </w:rPr>
              <w:t>安全检查表法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07" w:type="pct"/>
            <w:noWrap/>
            <w:vAlign w:val="center"/>
          </w:tcPr>
          <w:p>
            <w:pPr>
              <w:jc w:val="center"/>
              <w:rPr>
                <w:rFonts w:ascii="宋体" w:hAnsi="宋体"/>
                <w:szCs w:val="21"/>
              </w:rPr>
            </w:pPr>
            <w:r>
              <w:rPr>
                <w:rFonts w:hint="eastAsia" w:ascii="宋体" w:hAnsi="宋体"/>
                <w:szCs w:val="21"/>
              </w:rPr>
              <w:t>2</w:t>
            </w:r>
          </w:p>
        </w:tc>
        <w:tc>
          <w:tcPr>
            <w:tcW w:w="2300" w:type="pct"/>
            <w:noWrap/>
            <w:vAlign w:val="center"/>
          </w:tcPr>
          <w:p>
            <w:pPr>
              <w:jc w:val="center"/>
              <w:rPr>
                <w:rFonts w:ascii="宋体" w:hAnsi="宋体"/>
                <w:szCs w:val="21"/>
              </w:rPr>
            </w:pPr>
            <w:r>
              <w:rPr>
                <w:rFonts w:hint="eastAsia" w:ascii="宋体" w:hAnsi="宋体"/>
                <w:szCs w:val="21"/>
              </w:rPr>
              <w:t>总平面布置分析评价单元</w:t>
            </w:r>
          </w:p>
        </w:tc>
        <w:tc>
          <w:tcPr>
            <w:tcW w:w="2292" w:type="pct"/>
            <w:noWrap/>
            <w:vAlign w:val="center"/>
          </w:tcPr>
          <w:p>
            <w:pPr>
              <w:jc w:val="center"/>
              <w:rPr>
                <w:rFonts w:ascii="宋体" w:hAnsi="宋体"/>
                <w:szCs w:val="21"/>
              </w:rPr>
            </w:pPr>
            <w:r>
              <w:rPr>
                <w:rFonts w:hint="eastAsia" w:ascii="宋体" w:hAnsi="宋体"/>
                <w:szCs w:val="21"/>
              </w:rPr>
              <w:t>安全检查表法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07" w:type="pct"/>
            <w:noWrap/>
            <w:vAlign w:val="center"/>
          </w:tcPr>
          <w:p>
            <w:pPr>
              <w:jc w:val="center"/>
              <w:rPr>
                <w:rFonts w:ascii="宋体" w:hAnsi="宋体"/>
                <w:szCs w:val="21"/>
              </w:rPr>
            </w:pPr>
            <w:r>
              <w:rPr>
                <w:rFonts w:hint="eastAsia" w:ascii="宋体" w:hAnsi="宋体"/>
                <w:szCs w:val="21"/>
              </w:rPr>
              <w:t>3</w:t>
            </w:r>
          </w:p>
        </w:tc>
        <w:tc>
          <w:tcPr>
            <w:tcW w:w="2300" w:type="pct"/>
            <w:noWrap/>
            <w:vAlign w:val="center"/>
          </w:tcPr>
          <w:p>
            <w:pPr>
              <w:jc w:val="center"/>
              <w:rPr>
                <w:rFonts w:ascii="宋体" w:hAnsi="宋体"/>
                <w:szCs w:val="21"/>
              </w:rPr>
            </w:pPr>
            <w:r>
              <w:rPr>
                <w:rFonts w:hint="eastAsia" w:ascii="宋体" w:hAnsi="宋体"/>
                <w:szCs w:val="21"/>
              </w:rPr>
              <w:t>生产工艺及设备设施分析评价单元</w:t>
            </w:r>
          </w:p>
        </w:tc>
        <w:tc>
          <w:tcPr>
            <w:tcW w:w="2292" w:type="pct"/>
            <w:noWrap/>
            <w:vAlign w:val="center"/>
          </w:tcPr>
          <w:p>
            <w:pPr>
              <w:jc w:val="center"/>
              <w:rPr>
                <w:rFonts w:ascii="宋体" w:hAnsi="宋体"/>
                <w:szCs w:val="21"/>
              </w:rPr>
            </w:pPr>
            <w:r>
              <w:rPr>
                <w:rFonts w:hint="eastAsia" w:ascii="宋体" w:hAnsi="宋体"/>
                <w:szCs w:val="21"/>
              </w:rPr>
              <w:t>安全检查表法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07" w:type="pct"/>
            <w:noWrap/>
            <w:vAlign w:val="center"/>
          </w:tcPr>
          <w:p>
            <w:pPr>
              <w:jc w:val="center"/>
              <w:rPr>
                <w:rFonts w:ascii="宋体" w:hAnsi="宋体"/>
                <w:szCs w:val="21"/>
              </w:rPr>
            </w:pPr>
            <w:r>
              <w:rPr>
                <w:rFonts w:hint="eastAsia" w:ascii="宋体" w:hAnsi="宋体"/>
                <w:szCs w:val="21"/>
              </w:rPr>
              <w:t>4</w:t>
            </w:r>
          </w:p>
        </w:tc>
        <w:tc>
          <w:tcPr>
            <w:tcW w:w="2300" w:type="pct"/>
            <w:noWrap/>
            <w:vAlign w:val="center"/>
          </w:tcPr>
          <w:p>
            <w:pPr>
              <w:jc w:val="center"/>
              <w:rPr>
                <w:rFonts w:ascii="宋体" w:hAnsi="宋体"/>
                <w:szCs w:val="21"/>
              </w:rPr>
            </w:pPr>
            <w:r>
              <w:rPr>
                <w:rFonts w:hint="eastAsia" w:ascii="宋体" w:hAnsi="宋体"/>
                <w:szCs w:val="21"/>
              </w:rPr>
              <w:t>安全设施设计符合性评价单元</w:t>
            </w:r>
          </w:p>
        </w:tc>
        <w:tc>
          <w:tcPr>
            <w:tcW w:w="2292" w:type="pct"/>
            <w:noWrap/>
            <w:vAlign w:val="center"/>
          </w:tcPr>
          <w:p>
            <w:pPr>
              <w:jc w:val="center"/>
              <w:rPr>
                <w:rFonts w:ascii="宋体" w:hAnsi="宋体"/>
                <w:szCs w:val="21"/>
              </w:rPr>
            </w:pPr>
            <w:r>
              <w:rPr>
                <w:rFonts w:hint="eastAsia" w:ascii="宋体" w:hAnsi="宋体"/>
                <w:szCs w:val="21"/>
              </w:rPr>
              <w:t>安全检查表法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07" w:type="pct"/>
            <w:noWrap/>
            <w:vAlign w:val="center"/>
          </w:tcPr>
          <w:p>
            <w:pPr>
              <w:jc w:val="center"/>
              <w:rPr>
                <w:rFonts w:ascii="宋体" w:hAnsi="宋体"/>
                <w:szCs w:val="21"/>
              </w:rPr>
            </w:pPr>
            <w:r>
              <w:rPr>
                <w:rFonts w:hint="eastAsia" w:ascii="宋体" w:hAnsi="宋体"/>
                <w:szCs w:val="21"/>
              </w:rPr>
              <w:t>5</w:t>
            </w:r>
          </w:p>
        </w:tc>
        <w:tc>
          <w:tcPr>
            <w:tcW w:w="2300" w:type="pct"/>
            <w:noWrap/>
            <w:vAlign w:val="center"/>
          </w:tcPr>
          <w:p>
            <w:pPr>
              <w:jc w:val="center"/>
              <w:rPr>
                <w:rFonts w:ascii="宋体" w:hAnsi="宋体"/>
                <w:szCs w:val="21"/>
              </w:rPr>
            </w:pPr>
            <w:r>
              <w:rPr>
                <w:rFonts w:hint="eastAsia" w:ascii="宋体" w:hAnsi="宋体"/>
                <w:szCs w:val="21"/>
              </w:rPr>
              <w:t>公辅设施分析评价单元</w:t>
            </w:r>
          </w:p>
        </w:tc>
        <w:tc>
          <w:tcPr>
            <w:tcW w:w="2292" w:type="pct"/>
            <w:noWrap/>
            <w:vAlign w:val="center"/>
          </w:tcPr>
          <w:p>
            <w:pPr>
              <w:jc w:val="center"/>
              <w:rPr>
                <w:rFonts w:ascii="宋体" w:hAnsi="宋体"/>
                <w:szCs w:val="21"/>
              </w:rPr>
            </w:pPr>
            <w:r>
              <w:rPr>
                <w:rFonts w:hint="eastAsia" w:ascii="宋体" w:hAnsi="宋体"/>
                <w:szCs w:val="21"/>
              </w:rPr>
              <w:t>安全检查表法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407" w:type="pct"/>
            <w:noWrap/>
            <w:vAlign w:val="center"/>
          </w:tcPr>
          <w:p>
            <w:pPr>
              <w:jc w:val="center"/>
              <w:rPr>
                <w:rFonts w:ascii="宋体" w:hAnsi="宋体"/>
                <w:szCs w:val="21"/>
              </w:rPr>
            </w:pPr>
            <w:r>
              <w:rPr>
                <w:rFonts w:hint="eastAsia" w:ascii="宋体" w:hAnsi="宋体"/>
                <w:szCs w:val="21"/>
              </w:rPr>
              <w:t>6</w:t>
            </w:r>
          </w:p>
        </w:tc>
        <w:tc>
          <w:tcPr>
            <w:tcW w:w="2300" w:type="pct"/>
            <w:noWrap/>
            <w:vAlign w:val="center"/>
          </w:tcPr>
          <w:p>
            <w:pPr>
              <w:jc w:val="center"/>
              <w:rPr>
                <w:rFonts w:ascii="宋体" w:hAnsi="宋体"/>
                <w:szCs w:val="21"/>
              </w:rPr>
            </w:pPr>
            <w:r>
              <w:rPr>
                <w:rFonts w:hint="eastAsia" w:ascii="宋体" w:hAnsi="宋体"/>
                <w:szCs w:val="21"/>
              </w:rPr>
              <w:t>安全生产管理分析评价单元</w:t>
            </w:r>
          </w:p>
        </w:tc>
        <w:tc>
          <w:tcPr>
            <w:tcW w:w="2292" w:type="pct"/>
            <w:noWrap/>
            <w:vAlign w:val="center"/>
          </w:tcPr>
          <w:p>
            <w:pPr>
              <w:jc w:val="center"/>
              <w:rPr>
                <w:rFonts w:ascii="宋体" w:hAnsi="宋体"/>
                <w:szCs w:val="21"/>
              </w:rPr>
            </w:pPr>
            <w:r>
              <w:rPr>
                <w:rFonts w:hint="eastAsia" w:ascii="宋体" w:hAnsi="宋体"/>
                <w:szCs w:val="21"/>
              </w:rPr>
              <w:t>安全检查表法</w:t>
            </w:r>
          </w:p>
        </w:tc>
      </w:tr>
    </w:tbl>
    <w:p>
      <w:pPr>
        <w:rPr>
          <w:rFonts w:ascii="宋体" w:hAnsi="宋体" w:cs="宋体"/>
          <w:sz w:val="36"/>
          <w:szCs w:val="36"/>
        </w:rPr>
      </w:pPr>
      <w:r>
        <w:rPr>
          <w:rFonts w:hint="eastAsia" w:ascii="宋体" w:hAnsi="宋体" w:cs="宋体"/>
          <w:sz w:val="36"/>
          <w:szCs w:val="36"/>
        </w:rPr>
        <w:br w:type="page"/>
      </w:r>
    </w:p>
    <w:p>
      <w:pPr>
        <w:pStyle w:val="3"/>
        <w:keepNext w:val="0"/>
        <w:keepLines w:val="0"/>
        <w:snapToGrid w:val="0"/>
        <w:spacing w:before="0" w:after="0" w:line="360" w:lineRule="auto"/>
        <w:rPr>
          <w:rFonts w:ascii="宋体" w:hAnsi="宋体" w:cs="宋体"/>
          <w:sz w:val="36"/>
          <w:szCs w:val="36"/>
        </w:rPr>
      </w:pPr>
      <w:bookmarkStart w:id="499" w:name="_Toc8459"/>
      <w:r>
        <w:rPr>
          <w:rFonts w:hint="eastAsia" w:ascii="宋体" w:hAnsi="宋体" w:cs="宋体"/>
          <w:sz w:val="36"/>
          <w:szCs w:val="36"/>
        </w:rPr>
        <w:t>5 定性定量安全评价单元</w:t>
      </w:r>
      <w:bookmarkEnd w:id="499"/>
    </w:p>
    <w:bookmarkEnd w:id="427"/>
    <w:bookmarkEnd w:id="433"/>
    <w:p>
      <w:pPr>
        <w:pStyle w:val="4"/>
        <w:keepNext w:val="0"/>
        <w:keepLines w:val="0"/>
        <w:snapToGrid w:val="0"/>
        <w:spacing w:before="0" w:after="0" w:line="360" w:lineRule="auto"/>
        <w:jc w:val="left"/>
        <w:rPr>
          <w:rFonts w:ascii="宋体" w:hAnsi="宋体" w:cs="宋体"/>
          <w:snapToGrid/>
          <w:kern w:val="2"/>
        </w:rPr>
      </w:pPr>
      <w:bookmarkStart w:id="500" w:name="_Toc1735"/>
      <w:bookmarkStart w:id="501" w:name="_Toc25289"/>
      <w:bookmarkStart w:id="502" w:name="_Toc1742"/>
      <w:bookmarkStart w:id="503" w:name="_Toc426729300"/>
      <w:bookmarkStart w:id="504" w:name="_Toc45094824"/>
      <w:r>
        <w:rPr>
          <w:rFonts w:hint="eastAsia" w:ascii="宋体" w:hAnsi="宋体" w:cs="宋体"/>
          <w:snapToGrid/>
          <w:kern w:val="2"/>
        </w:rPr>
        <w:t>5.1</w:t>
      </w:r>
      <w:r>
        <w:rPr>
          <w:rFonts w:hint="eastAsia" w:ascii="宋体" w:hAnsi="宋体" w:cs="宋体"/>
          <w:snapToGrid/>
          <w:kern w:val="2"/>
          <w:lang w:val="en-US" w:eastAsia="zh-CN"/>
        </w:rPr>
        <w:t xml:space="preserve"> </w:t>
      </w:r>
      <w:r>
        <w:rPr>
          <w:rFonts w:hint="eastAsia" w:ascii="宋体" w:hAnsi="宋体" w:cs="宋体"/>
          <w:snapToGrid/>
          <w:kern w:val="2"/>
        </w:rPr>
        <w:t>建设项目安全设施“三同时”符合性分析评价单元</w:t>
      </w:r>
      <w:bookmarkEnd w:id="500"/>
      <w:bookmarkEnd w:id="501"/>
    </w:p>
    <w:p>
      <w:pPr>
        <w:pStyle w:val="5"/>
        <w:keepNext w:val="0"/>
        <w:keepLines w:val="0"/>
        <w:snapToGrid w:val="0"/>
        <w:spacing w:before="0" w:after="0" w:line="360" w:lineRule="auto"/>
        <w:rPr>
          <w:rFonts w:ascii="宋体" w:hAnsi="宋体" w:cs="宋体"/>
          <w:sz w:val="28"/>
          <w:szCs w:val="28"/>
        </w:rPr>
      </w:pPr>
      <w:bookmarkStart w:id="505" w:name="_Toc13826"/>
      <w:bookmarkStart w:id="506" w:name="_Toc32303"/>
      <w:bookmarkStart w:id="507" w:name="_Toc3049"/>
      <w:r>
        <w:rPr>
          <w:rFonts w:hint="eastAsia" w:ascii="宋体" w:hAnsi="宋体" w:cs="宋体"/>
          <w:sz w:val="28"/>
          <w:szCs w:val="28"/>
        </w:rPr>
        <w:t>5.1.1</w:t>
      </w:r>
      <w:bookmarkEnd w:id="505"/>
      <w:r>
        <w:rPr>
          <w:rFonts w:hint="eastAsia" w:ascii="宋体" w:hAnsi="宋体" w:cs="宋体"/>
          <w:sz w:val="28"/>
          <w:szCs w:val="28"/>
          <w:lang w:val="en-US" w:eastAsia="zh-CN"/>
        </w:rPr>
        <w:t xml:space="preserve"> </w:t>
      </w:r>
      <w:r>
        <w:rPr>
          <w:rFonts w:hint="eastAsia" w:ascii="宋体" w:hAnsi="宋体" w:cs="宋体"/>
          <w:sz w:val="28"/>
          <w:szCs w:val="28"/>
        </w:rPr>
        <w:t>安全检查表</w:t>
      </w:r>
      <w:bookmarkEnd w:id="506"/>
      <w:bookmarkEnd w:id="507"/>
    </w:p>
    <w:p>
      <w:pPr>
        <w:spacing w:line="500" w:lineRule="exact"/>
        <w:ind w:firstLine="482"/>
        <w:rPr>
          <w:snapToGrid w:val="0"/>
          <w:kern w:val="0"/>
          <w:sz w:val="28"/>
          <w:szCs w:val="28"/>
        </w:rPr>
      </w:pPr>
      <w:r>
        <w:rPr>
          <w:rFonts w:hint="eastAsia"/>
          <w:snapToGrid w:val="0"/>
          <w:kern w:val="0"/>
          <w:sz w:val="28"/>
          <w:szCs w:val="28"/>
        </w:rPr>
        <w:t>本节主要依据《建设项目安全设施“三同时”监督管理办法》（安监总局令第77号修订）对本项目三同时执行情况进行分析和评价。</w:t>
      </w:r>
    </w:p>
    <w:p>
      <w:pPr>
        <w:spacing w:line="360" w:lineRule="auto"/>
        <w:jc w:val="center"/>
        <w:rPr>
          <w:rFonts w:ascii="宋体" w:hAnsi="宋体"/>
          <w:sz w:val="24"/>
        </w:rPr>
      </w:pPr>
      <w:r>
        <w:rPr>
          <w:rFonts w:hint="eastAsia" w:ascii="宋体" w:hAnsi="宋体" w:cs="宋体"/>
          <w:sz w:val="24"/>
        </w:rPr>
        <w:t>表5.1“三同时”执行情况检查表</w:t>
      </w:r>
    </w:p>
    <w:tbl>
      <w:tblPr>
        <w:tblStyle w:val="52"/>
        <w:tblW w:w="974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57"/>
        <w:gridCol w:w="4351"/>
        <w:gridCol w:w="2088"/>
        <w:gridCol w:w="2160"/>
        <w:gridCol w:w="6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85" w:hRule="atLeast"/>
          <w:tblHeader/>
          <w:jc w:val="center"/>
        </w:trPr>
        <w:tc>
          <w:tcPr>
            <w:tcW w:w="457" w:type="dxa"/>
            <w:noWrap/>
            <w:vAlign w:val="center"/>
          </w:tcPr>
          <w:p>
            <w:pPr>
              <w:adjustRightInd w:val="0"/>
              <w:snapToGrid w:val="0"/>
              <w:jc w:val="center"/>
              <w:rPr>
                <w:rFonts w:ascii="宋体" w:hAnsi="宋体"/>
                <w:b/>
                <w:sz w:val="24"/>
              </w:rPr>
            </w:pPr>
            <w:r>
              <w:rPr>
                <w:rFonts w:hint="eastAsia" w:ascii="宋体" w:hAnsi="宋体"/>
                <w:b/>
                <w:sz w:val="24"/>
              </w:rPr>
              <w:t>序号</w:t>
            </w:r>
          </w:p>
        </w:tc>
        <w:tc>
          <w:tcPr>
            <w:tcW w:w="4351" w:type="dxa"/>
            <w:noWrap/>
            <w:vAlign w:val="center"/>
          </w:tcPr>
          <w:p>
            <w:pPr>
              <w:adjustRightInd w:val="0"/>
              <w:snapToGrid w:val="0"/>
              <w:jc w:val="center"/>
              <w:rPr>
                <w:rFonts w:ascii="宋体" w:hAnsi="宋体"/>
                <w:b/>
                <w:sz w:val="24"/>
              </w:rPr>
            </w:pPr>
            <w:r>
              <w:rPr>
                <w:rFonts w:hint="eastAsia" w:ascii="宋体" w:hAnsi="宋体"/>
                <w:b/>
                <w:sz w:val="24"/>
              </w:rPr>
              <w:t>检查内容</w:t>
            </w:r>
          </w:p>
        </w:tc>
        <w:tc>
          <w:tcPr>
            <w:tcW w:w="2088" w:type="dxa"/>
            <w:noWrap/>
            <w:vAlign w:val="center"/>
          </w:tcPr>
          <w:p>
            <w:pPr>
              <w:adjustRightInd w:val="0"/>
              <w:snapToGrid w:val="0"/>
              <w:jc w:val="center"/>
              <w:rPr>
                <w:rFonts w:ascii="宋体" w:hAnsi="宋体"/>
                <w:b/>
                <w:sz w:val="24"/>
              </w:rPr>
            </w:pPr>
            <w:r>
              <w:rPr>
                <w:rFonts w:hint="eastAsia" w:ascii="宋体" w:hAnsi="宋体"/>
                <w:b/>
                <w:sz w:val="24"/>
              </w:rPr>
              <w:t>依据标准</w:t>
            </w:r>
          </w:p>
        </w:tc>
        <w:tc>
          <w:tcPr>
            <w:tcW w:w="2160" w:type="dxa"/>
            <w:noWrap/>
            <w:vAlign w:val="center"/>
          </w:tcPr>
          <w:p>
            <w:pPr>
              <w:adjustRightInd w:val="0"/>
              <w:snapToGrid w:val="0"/>
              <w:jc w:val="center"/>
              <w:rPr>
                <w:rFonts w:ascii="宋体" w:hAnsi="宋体"/>
                <w:b/>
                <w:sz w:val="24"/>
              </w:rPr>
            </w:pPr>
            <w:r>
              <w:rPr>
                <w:rFonts w:hint="eastAsia" w:ascii="宋体" w:hAnsi="宋体"/>
                <w:b/>
                <w:sz w:val="24"/>
              </w:rPr>
              <w:t>检查情况</w:t>
            </w:r>
          </w:p>
        </w:tc>
        <w:tc>
          <w:tcPr>
            <w:tcW w:w="690" w:type="dxa"/>
            <w:noWrap/>
            <w:vAlign w:val="center"/>
          </w:tcPr>
          <w:p>
            <w:pPr>
              <w:adjustRightInd w:val="0"/>
              <w:snapToGrid w:val="0"/>
              <w:jc w:val="center"/>
              <w:rPr>
                <w:rFonts w:ascii="宋体" w:hAnsi="宋体"/>
                <w:b/>
                <w:sz w:val="24"/>
              </w:rPr>
            </w:pPr>
            <w:r>
              <w:rPr>
                <w:rFonts w:hint="eastAsia" w:ascii="宋体" w:hAnsi="宋体"/>
                <w:b/>
                <w:sz w:val="24"/>
              </w:rPr>
              <w:t>结论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44" w:hRule="atLeast"/>
          <w:jc w:val="center"/>
        </w:trPr>
        <w:tc>
          <w:tcPr>
            <w:tcW w:w="457" w:type="dxa"/>
            <w:noWrap/>
            <w:vAlign w:val="center"/>
          </w:tcPr>
          <w:p>
            <w:pPr>
              <w:adjustRightInd w:val="0"/>
              <w:snapToGrid w:val="0"/>
              <w:jc w:val="center"/>
              <w:rPr>
                <w:rFonts w:ascii="宋体" w:hAnsi="宋体"/>
                <w:szCs w:val="21"/>
              </w:rPr>
            </w:pPr>
            <w:r>
              <w:rPr>
                <w:rFonts w:hint="eastAsia" w:ascii="宋体" w:hAnsi="宋体"/>
                <w:szCs w:val="21"/>
              </w:rPr>
              <w:t>1</w:t>
            </w:r>
          </w:p>
        </w:tc>
        <w:tc>
          <w:tcPr>
            <w:tcW w:w="4351" w:type="dxa"/>
            <w:noWrap/>
            <w:vAlign w:val="center"/>
          </w:tcPr>
          <w:p>
            <w:pPr>
              <w:pStyle w:val="134"/>
              <w:tabs>
                <w:tab w:val="clear" w:pos="1134"/>
              </w:tabs>
              <w:snapToGrid w:val="0"/>
              <w:rPr>
                <w:rFonts w:ascii="宋体" w:hAnsi="宋体"/>
                <w:bCs/>
                <w:szCs w:val="21"/>
              </w:rPr>
            </w:pPr>
            <w:r>
              <w:rPr>
                <w:rFonts w:hint="eastAsia" w:ascii="宋体" w:hAnsi="宋体"/>
                <w:bCs/>
                <w:szCs w:val="21"/>
              </w:rPr>
              <w:t>生产经营单位应当委托具有相应资质的安全评价机构，对其建设项目进行安全预评价，并编制安全预评价报告。</w:t>
            </w:r>
          </w:p>
        </w:tc>
        <w:tc>
          <w:tcPr>
            <w:tcW w:w="2088" w:type="dxa"/>
            <w:noWrap/>
            <w:vAlign w:val="center"/>
          </w:tcPr>
          <w:p>
            <w:pPr>
              <w:pStyle w:val="134"/>
              <w:tabs>
                <w:tab w:val="clear" w:pos="1134"/>
              </w:tabs>
              <w:snapToGrid w:val="0"/>
              <w:jc w:val="center"/>
              <w:rPr>
                <w:rFonts w:ascii="宋体" w:hAnsi="宋体"/>
                <w:bCs/>
                <w:szCs w:val="21"/>
              </w:rPr>
            </w:pPr>
            <w:r>
              <w:rPr>
                <w:rFonts w:hint="eastAsia" w:ascii="宋体" w:hAnsi="宋体"/>
                <w:bCs/>
                <w:szCs w:val="21"/>
              </w:rPr>
              <w:t>《建设项目安全设施“三同时”监督管理办法》（安监总局令第77号修订）第八条</w:t>
            </w:r>
          </w:p>
        </w:tc>
        <w:tc>
          <w:tcPr>
            <w:tcW w:w="2160" w:type="dxa"/>
            <w:noWrap/>
            <w:vAlign w:val="center"/>
          </w:tcPr>
          <w:p>
            <w:pPr>
              <w:pStyle w:val="134"/>
              <w:tabs>
                <w:tab w:val="clear" w:pos="1134"/>
              </w:tabs>
              <w:snapToGrid w:val="0"/>
              <w:rPr>
                <w:rFonts w:ascii="宋体" w:hAnsi="宋体"/>
                <w:bCs/>
                <w:szCs w:val="21"/>
              </w:rPr>
            </w:pPr>
            <w:r>
              <w:rPr>
                <w:rFonts w:hint="eastAsia" w:ascii="宋体" w:hAnsi="宋体"/>
                <w:bCs/>
                <w:szCs w:val="21"/>
              </w:rPr>
              <w:t>委托</w:t>
            </w:r>
            <w:r>
              <w:rPr>
                <w:rFonts w:hint="eastAsia" w:ascii="宋体" w:hAnsi="宋体"/>
                <w:szCs w:val="21"/>
              </w:rPr>
              <w:t>云南云天咨询有限公司</w:t>
            </w:r>
            <w:r>
              <w:rPr>
                <w:rFonts w:hint="eastAsia" w:ascii="宋体" w:hAnsi="宋体"/>
                <w:bCs/>
                <w:szCs w:val="21"/>
              </w:rPr>
              <w:t>进行了安全预评价。</w:t>
            </w:r>
          </w:p>
        </w:tc>
        <w:tc>
          <w:tcPr>
            <w:tcW w:w="690" w:type="dxa"/>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24" w:hRule="atLeast"/>
          <w:jc w:val="center"/>
        </w:trPr>
        <w:tc>
          <w:tcPr>
            <w:tcW w:w="457" w:type="dxa"/>
            <w:noWrap/>
            <w:vAlign w:val="center"/>
          </w:tcPr>
          <w:p>
            <w:pPr>
              <w:adjustRightInd w:val="0"/>
              <w:snapToGrid w:val="0"/>
              <w:jc w:val="center"/>
              <w:rPr>
                <w:rFonts w:ascii="宋体" w:hAnsi="宋体"/>
                <w:szCs w:val="21"/>
              </w:rPr>
            </w:pPr>
            <w:r>
              <w:rPr>
                <w:rFonts w:hint="eastAsia" w:ascii="宋体" w:hAnsi="宋体"/>
                <w:szCs w:val="21"/>
              </w:rPr>
              <w:t>2</w:t>
            </w:r>
          </w:p>
        </w:tc>
        <w:tc>
          <w:tcPr>
            <w:tcW w:w="4351" w:type="dxa"/>
            <w:noWrap/>
            <w:vAlign w:val="center"/>
          </w:tcPr>
          <w:p>
            <w:pPr>
              <w:pStyle w:val="134"/>
              <w:tabs>
                <w:tab w:val="clear" w:pos="1134"/>
              </w:tabs>
              <w:snapToGrid w:val="0"/>
              <w:rPr>
                <w:rFonts w:ascii="宋体" w:hAnsi="宋体"/>
                <w:bCs/>
                <w:szCs w:val="21"/>
              </w:rPr>
            </w:pPr>
            <w:r>
              <w:rPr>
                <w:rFonts w:hint="eastAsia" w:ascii="宋体" w:hAnsi="宋体"/>
                <w:bCs/>
                <w:szCs w:val="21"/>
              </w:rPr>
              <w:t>生产经营单位在建设项目初步设计时，应当委托有相应资质的初步设计单位对建设项目安全设施同时进行设计，编制安全设施设计。</w:t>
            </w:r>
          </w:p>
        </w:tc>
        <w:tc>
          <w:tcPr>
            <w:tcW w:w="2088" w:type="dxa"/>
            <w:noWrap/>
            <w:vAlign w:val="center"/>
          </w:tcPr>
          <w:p>
            <w:pPr>
              <w:pStyle w:val="134"/>
              <w:tabs>
                <w:tab w:val="clear" w:pos="1134"/>
              </w:tabs>
              <w:snapToGrid w:val="0"/>
              <w:jc w:val="center"/>
              <w:rPr>
                <w:rFonts w:ascii="宋体" w:hAnsi="宋体"/>
                <w:bCs/>
                <w:szCs w:val="21"/>
              </w:rPr>
            </w:pPr>
            <w:r>
              <w:rPr>
                <w:rFonts w:hint="eastAsia" w:ascii="宋体" w:hAnsi="宋体"/>
                <w:bCs/>
                <w:szCs w:val="21"/>
              </w:rPr>
              <w:t>《建设项目安全设施“三同时”监督管理办法》（安监总局令第77号修订）第十条</w:t>
            </w:r>
          </w:p>
        </w:tc>
        <w:tc>
          <w:tcPr>
            <w:tcW w:w="2160" w:type="dxa"/>
            <w:noWrap/>
            <w:vAlign w:val="center"/>
          </w:tcPr>
          <w:p>
            <w:pPr>
              <w:pStyle w:val="134"/>
              <w:tabs>
                <w:tab w:val="clear" w:pos="1134"/>
              </w:tabs>
              <w:snapToGrid w:val="0"/>
              <w:rPr>
                <w:rFonts w:ascii="宋体" w:hAnsi="宋体"/>
                <w:bCs/>
                <w:szCs w:val="21"/>
              </w:rPr>
            </w:pPr>
            <w:r>
              <w:rPr>
                <w:rFonts w:hint="eastAsia" w:ascii="宋体" w:hAnsi="宋体"/>
                <w:bCs/>
                <w:szCs w:val="21"/>
              </w:rPr>
              <w:t>委托</w:t>
            </w:r>
            <w:r>
              <w:rPr>
                <w:rFonts w:hint="eastAsia" w:ascii="宋体" w:hAnsi="宋体"/>
                <w:szCs w:val="21"/>
              </w:rPr>
              <w:t>中机中联工程有限公司</w:t>
            </w:r>
            <w:r>
              <w:rPr>
                <w:rFonts w:hint="eastAsia" w:ascii="宋体" w:hAnsi="宋体"/>
                <w:bCs/>
                <w:szCs w:val="21"/>
              </w:rPr>
              <w:t>编制了安全设施设计。</w:t>
            </w:r>
          </w:p>
        </w:tc>
        <w:tc>
          <w:tcPr>
            <w:tcW w:w="690" w:type="dxa"/>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15" w:hRule="atLeast"/>
          <w:jc w:val="center"/>
        </w:trPr>
        <w:tc>
          <w:tcPr>
            <w:tcW w:w="457" w:type="dxa"/>
            <w:noWrap/>
            <w:vAlign w:val="center"/>
          </w:tcPr>
          <w:p>
            <w:pPr>
              <w:adjustRightInd w:val="0"/>
              <w:snapToGrid w:val="0"/>
              <w:jc w:val="center"/>
              <w:rPr>
                <w:rFonts w:ascii="宋体" w:hAnsi="宋体"/>
                <w:szCs w:val="21"/>
              </w:rPr>
            </w:pPr>
            <w:r>
              <w:rPr>
                <w:rFonts w:hint="eastAsia" w:ascii="宋体" w:hAnsi="宋体"/>
                <w:szCs w:val="21"/>
              </w:rPr>
              <w:t>3</w:t>
            </w:r>
          </w:p>
        </w:tc>
        <w:tc>
          <w:tcPr>
            <w:tcW w:w="4351" w:type="dxa"/>
            <w:noWrap/>
            <w:vAlign w:val="center"/>
          </w:tcPr>
          <w:p>
            <w:pPr>
              <w:pStyle w:val="134"/>
              <w:tabs>
                <w:tab w:val="clear" w:pos="1134"/>
              </w:tabs>
              <w:snapToGrid w:val="0"/>
              <w:rPr>
                <w:rFonts w:ascii="宋体" w:hAnsi="宋体"/>
                <w:bCs/>
                <w:szCs w:val="21"/>
              </w:rPr>
            </w:pPr>
            <w:r>
              <w:rPr>
                <w:rFonts w:hint="eastAsia" w:ascii="宋体" w:hAnsi="宋体"/>
                <w:bCs/>
                <w:szCs w:val="21"/>
              </w:rPr>
              <w:t>本办法第七条第一项、第二项、第三项和第四项规定以外的建设项目安全设施设计，由生产经营单位组织审查，形成书面报告备查。</w:t>
            </w:r>
          </w:p>
        </w:tc>
        <w:tc>
          <w:tcPr>
            <w:tcW w:w="2088" w:type="dxa"/>
            <w:noWrap/>
            <w:vAlign w:val="center"/>
          </w:tcPr>
          <w:p>
            <w:pPr>
              <w:pStyle w:val="134"/>
              <w:tabs>
                <w:tab w:val="clear" w:pos="1134"/>
              </w:tabs>
              <w:snapToGrid w:val="0"/>
              <w:jc w:val="center"/>
              <w:rPr>
                <w:rFonts w:ascii="宋体" w:hAnsi="宋体"/>
                <w:bCs/>
                <w:szCs w:val="21"/>
              </w:rPr>
            </w:pPr>
            <w:r>
              <w:rPr>
                <w:rFonts w:hint="eastAsia" w:ascii="宋体" w:hAnsi="宋体"/>
                <w:bCs/>
                <w:szCs w:val="21"/>
              </w:rPr>
              <w:t>《建设项目安全设施“三同时”监督管理办法》（安监总局令第77号修订）第十六条</w:t>
            </w:r>
          </w:p>
        </w:tc>
        <w:tc>
          <w:tcPr>
            <w:tcW w:w="2160" w:type="dxa"/>
            <w:noWrap/>
            <w:vAlign w:val="center"/>
          </w:tcPr>
          <w:p>
            <w:pPr>
              <w:pStyle w:val="134"/>
              <w:tabs>
                <w:tab w:val="clear" w:pos="1134"/>
              </w:tabs>
              <w:snapToGrid w:val="0"/>
              <w:rPr>
                <w:rFonts w:ascii="宋体" w:hAnsi="宋体"/>
                <w:bCs/>
                <w:szCs w:val="21"/>
              </w:rPr>
            </w:pPr>
            <w:r>
              <w:rPr>
                <w:rFonts w:hint="eastAsia" w:ascii="宋体" w:hAnsi="宋体"/>
                <w:bCs/>
                <w:szCs w:val="21"/>
              </w:rPr>
              <w:t>安全设施设计经专家审查通过。</w:t>
            </w:r>
          </w:p>
        </w:tc>
        <w:tc>
          <w:tcPr>
            <w:tcW w:w="690" w:type="dxa"/>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55" w:hRule="atLeast"/>
          <w:jc w:val="center"/>
        </w:trPr>
        <w:tc>
          <w:tcPr>
            <w:tcW w:w="457" w:type="dxa"/>
            <w:noWrap/>
            <w:vAlign w:val="center"/>
          </w:tcPr>
          <w:p>
            <w:pPr>
              <w:adjustRightInd w:val="0"/>
              <w:snapToGrid w:val="0"/>
              <w:jc w:val="center"/>
              <w:rPr>
                <w:rFonts w:ascii="宋体" w:hAnsi="宋体"/>
                <w:szCs w:val="21"/>
              </w:rPr>
            </w:pPr>
            <w:r>
              <w:rPr>
                <w:rFonts w:hint="eastAsia" w:ascii="宋体" w:hAnsi="宋体"/>
                <w:szCs w:val="21"/>
              </w:rPr>
              <w:t>4</w:t>
            </w:r>
          </w:p>
        </w:tc>
        <w:tc>
          <w:tcPr>
            <w:tcW w:w="4351" w:type="dxa"/>
            <w:noWrap/>
            <w:vAlign w:val="center"/>
          </w:tcPr>
          <w:p>
            <w:pPr>
              <w:pStyle w:val="134"/>
              <w:tabs>
                <w:tab w:val="clear" w:pos="1134"/>
              </w:tabs>
              <w:adjustRightInd w:val="0"/>
              <w:snapToGrid w:val="0"/>
              <w:rPr>
                <w:rFonts w:ascii="宋体" w:hAnsi="宋体"/>
                <w:bCs/>
                <w:szCs w:val="21"/>
              </w:rPr>
            </w:pPr>
            <w:r>
              <w:rPr>
                <w:rFonts w:hint="eastAsia" w:ascii="宋体" w:hAnsi="宋体"/>
                <w:bCs/>
                <w:szCs w:val="21"/>
              </w:rPr>
              <w:t>建设项目安全设施的施工应当由取得相应资质的施工单位进行，并与建设项目主体工程同时施工。</w:t>
            </w:r>
          </w:p>
        </w:tc>
        <w:tc>
          <w:tcPr>
            <w:tcW w:w="2088" w:type="dxa"/>
            <w:noWrap/>
            <w:vAlign w:val="center"/>
          </w:tcPr>
          <w:p>
            <w:pPr>
              <w:pStyle w:val="134"/>
              <w:tabs>
                <w:tab w:val="clear" w:pos="1134"/>
              </w:tabs>
              <w:adjustRightInd w:val="0"/>
              <w:snapToGrid w:val="0"/>
              <w:jc w:val="center"/>
              <w:rPr>
                <w:rFonts w:ascii="宋体" w:hAnsi="宋体"/>
                <w:bCs/>
                <w:szCs w:val="21"/>
              </w:rPr>
            </w:pPr>
            <w:r>
              <w:rPr>
                <w:rFonts w:hint="eastAsia" w:ascii="宋体" w:hAnsi="宋体"/>
                <w:bCs/>
                <w:szCs w:val="21"/>
              </w:rPr>
              <w:t>《建设项目安全设施“三同时”监督管理办法》（安监总局令第77号修订）第十七条</w:t>
            </w:r>
          </w:p>
        </w:tc>
        <w:tc>
          <w:tcPr>
            <w:tcW w:w="2160" w:type="dxa"/>
            <w:noWrap/>
            <w:vAlign w:val="center"/>
          </w:tcPr>
          <w:p>
            <w:pPr>
              <w:pStyle w:val="134"/>
              <w:tabs>
                <w:tab w:val="clear" w:pos="1134"/>
              </w:tabs>
              <w:adjustRightInd w:val="0"/>
              <w:snapToGrid w:val="0"/>
              <w:rPr>
                <w:rFonts w:ascii="宋体" w:hAnsi="宋体"/>
                <w:bCs/>
                <w:szCs w:val="21"/>
              </w:rPr>
            </w:pPr>
            <w:r>
              <w:rPr>
                <w:rFonts w:hint="eastAsia" w:ascii="宋体" w:hAnsi="宋体"/>
                <w:bCs/>
                <w:szCs w:val="21"/>
              </w:rPr>
              <w:t>本项目安全设施均包含在设备设施中，设备设施均由生产厂家进行安装调试。</w:t>
            </w:r>
          </w:p>
        </w:tc>
        <w:tc>
          <w:tcPr>
            <w:tcW w:w="690" w:type="dxa"/>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83" w:hRule="atLeast"/>
          <w:jc w:val="center"/>
        </w:trPr>
        <w:tc>
          <w:tcPr>
            <w:tcW w:w="457" w:type="dxa"/>
            <w:noWrap/>
            <w:vAlign w:val="center"/>
          </w:tcPr>
          <w:p>
            <w:pPr>
              <w:adjustRightInd w:val="0"/>
              <w:snapToGrid w:val="0"/>
              <w:jc w:val="center"/>
              <w:rPr>
                <w:rFonts w:ascii="宋体" w:hAnsi="宋体"/>
                <w:szCs w:val="21"/>
              </w:rPr>
            </w:pPr>
            <w:r>
              <w:rPr>
                <w:rFonts w:hint="eastAsia" w:ascii="宋体" w:hAnsi="宋体"/>
                <w:szCs w:val="21"/>
              </w:rPr>
              <w:t>5</w:t>
            </w:r>
          </w:p>
        </w:tc>
        <w:tc>
          <w:tcPr>
            <w:tcW w:w="4351" w:type="dxa"/>
            <w:noWrap/>
            <w:vAlign w:val="center"/>
          </w:tcPr>
          <w:p>
            <w:pPr>
              <w:pStyle w:val="134"/>
              <w:tabs>
                <w:tab w:val="clear" w:pos="1134"/>
              </w:tabs>
              <w:adjustRightInd w:val="0"/>
              <w:snapToGrid w:val="0"/>
              <w:rPr>
                <w:rFonts w:ascii="宋体" w:hAnsi="宋体"/>
                <w:bCs/>
                <w:szCs w:val="21"/>
              </w:rPr>
            </w:pPr>
            <w:r>
              <w:rPr>
                <w:rFonts w:hint="eastAsia" w:ascii="宋体" w:hAnsi="宋体"/>
                <w:bCs/>
                <w:szCs w:val="21"/>
              </w:rPr>
              <w:t>建设项目安全设施建成后，生产经营单位应当对安全设施进行检查，对发现的问题及时整改。</w:t>
            </w:r>
          </w:p>
        </w:tc>
        <w:tc>
          <w:tcPr>
            <w:tcW w:w="2088" w:type="dxa"/>
            <w:noWrap/>
            <w:vAlign w:val="center"/>
          </w:tcPr>
          <w:p>
            <w:pPr>
              <w:pStyle w:val="134"/>
              <w:tabs>
                <w:tab w:val="clear" w:pos="1134"/>
              </w:tabs>
              <w:adjustRightInd w:val="0"/>
              <w:snapToGrid w:val="0"/>
              <w:jc w:val="center"/>
              <w:rPr>
                <w:rFonts w:ascii="宋体" w:hAnsi="宋体"/>
                <w:bCs/>
                <w:szCs w:val="21"/>
              </w:rPr>
            </w:pPr>
            <w:r>
              <w:rPr>
                <w:rFonts w:hint="eastAsia" w:ascii="宋体" w:hAnsi="宋体"/>
                <w:bCs/>
                <w:szCs w:val="21"/>
              </w:rPr>
              <w:t>《建设项目安全设施“三同时”监督管理办法》（安监总局令第77号修订）第二十条</w:t>
            </w:r>
          </w:p>
        </w:tc>
        <w:tc>
          <w:tcPr>
            <w:tcW w:w="2160" w:type="dxa"/>
            <w:noWrap/>
            <w:vAlign w:val="center"/>
          </w:tcPr>
          <w:p>
            <w:pPr>
              <w:pStyle w:val="134"/>
              <w:tabs>
                <w:tab w:val="clear" w:pos="1134"/>
              </w:tabs>
              <w:adjustRightInd w:val="0"/>
              <w:snapToGrid w:val="0"/>
              <w:rPr>
                <w:rFonts w:ascii="宋体" w:hAnsi="宋体"/>
                <w:bCs/>
                <w:szCs w:val="21"/>
              </w:rPr>
            </w:pPr>
            <w:r>
              <w:rPr>
                <w:rFonts w:hint="eastAsia" w:ascii="宋体" w:hAnsi="宋体"/>
                <w:bCs/>
                <w:szCs w:val="21"/>
              </w:rPr>
              <w:t>建设项目的安全设施完成建成后，建设单位对安全设施进行了检查，对发现的问题进行了整改。</w:t>
            </w:r>
          </w:p>
        </w:tc>
        <w:tc>
          <w:tcPr>
            <w:tcW w:w="690" w:type="dxa"/>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80" w:hRule="atLeast"/>
          <w:jc w:val="center"/>
        </w:trPr>
        <w:tc>
          <w:tcPr>
            <w:tcW w:w="457" w:type="dxa"/>
            <w:noWrap/>
            <w:vAlign w:val="center"/>
          </w:tcPr>
          <w:p>
            <w:pPr>
              <w:adjustRightInd w:val="0"/>
              <w:snapToGrid w:val="0"/>
              <w:jc w:val="center"/>
              <w:rPr>
                <w:rFonts w:ascii="宋体" w:hAnsi="宋体"/>
                <w:szCs w:val="21"/>
              </w:rPr>
            </w:pPr>
            <w:r>
              <w:rPr>
                <w:rFonts w:hint="eastAsia" w:ascii="宋体" w:hAnsi="宋体"/>
                <w:szCs w:val="21"/>
              </w:rPr>
              <w:t>6</w:t>
            </w:r>
          </w:p>
        </w:tc>
        <w:tc>
          <w:tcPr>
            <w:tcW w:w="4351" w:type="dxa"/>
            <w:noWrap/>
            <w:vAlign w:val="center"/>
          </w:tcPr>
          <w:p>
            <w:pPr>
              <w:pStyle w:val="134"/>
              <w:tabs>
                <w:tab w:val="clear" w:pos="1134"/>
              </w:tabs>
              <w:adjustRightInd w:val="0"/>
              <w:snapToGrid w:val="0"/>
              <w:rPr>
                <w:rFonts w:ascii="宋体" w:hAnsi="宋体"/>
                <w:bCs/>
                <w:szCs w:val="21"/>
              </w:rPr>
            </w:pPr>
            <w:r>
              <w:rPr>
                <w:rFonts w:hint="eastAsia" w:ascii="宋体" w:hAnsi="宋体"/>
                <w:bCs/>
                <w:szCs w:val="21"/>
              </w:rPr>
              <w:t>建设项目竣工投入生产或者使用前，生产经营单位应当组织对安全设施进行竣工验收，并形成书面报告备查。安全设施竣工验收合格后，方可投入生产和使用。</w:t>
            </w:r>
          </w:p>
        </w:tc>
        <w:tc>
          <w:tcPr>
            <w:tcW w:w="2088" w:type="dxa"/>
            <w:noWrap/>
            <w:vAlign w:val="center"/>
          </w:tcPr>
          <w:p>
            <w:pPr>
              <w:pStyle w:val="134"/>
              <w:tabs>
                <w:tab w:val="clear" w:pos="1134"/>
              </w:tabs>
              <w:adjustRightInd w:val="0"/>
              <w:snapToGrid w:val="0"/>
              <w:jc w:val="center"/>
              <w:rPr>
                <w:rFonts w:ascii="宋体" w:hAnsi="宋体"/>
                <w:bCs/>
                <w:szCs w:val="21"/>
              </w:rPr>
            </w:pPr>
            <w:r>
              <w:rPr>
                <w:rFonts w:hint="eastAsia" w:ascii="宋体" w:hAnsi="宋体"/>
                <w:bCs/>
                <w:szCs w:val="21"/>
              </w:rPr>
              <w:t>《建设项目安全设施“三同时”监督管理办法》（安监总局令第77号修订）第二十三条</w:t>
            </w:r>
          </w:p>
        </w:tc>
        <w:tc>
          <w:tcPr>
            <w:tcW w:w="2160" w:type="dxa"/>
            <w:noWrap/>
            <w:vAlign w:val="center"/>
          </w:tcPr>
          <w:p>
            <w:pPr>
              <w:pStyle w:val="134"/>
              <w:tabs>
                <w:tab w:val="clear" w:pos="1134"/>
              </w:tabs>
              <w:adjustRightInd w:val="0"/>
              <w:snapToGrid w:val="0"/>
              <w:rPr>
                <w:rFonts w:ascii="宋体" w:hAnsi="宋体"/>
                <w:bCs/>
                <w:szCs w:val="21"/>
              </w:rPr>
            </w:pPr>
            <w:r>
              <w:rPr>
                <w:rFonts w:hint="eastAsia" w:ascii="宋体" w:hAnsi="宋体"/>
                <w:bCs/>
                <w:szCs w:val="21"/>
              </w:rPr>
              <w:t>建设单位对安全设施的建设情况进行了验收。</w:t>
            </w:r>
          </w:p>
        </w:tc>
        <w:tc>
          <w:tcPr>
            <w:tcW w:w="690" w:type="dxa"/>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80" w:hRule="atLeast"/>
          <w:jc w:val="center"/>
        </w:trPr>
        <w:tc>
          <w:tcPr>
            <w:tcW w:w="457" w:type="dxa"/>
            <w:vAlign w:val="center"/>
          </w:tcPr>
          <w:p>
            <w:pPr>
              <w:adjustRightInd w:val="0"/>
              <w:snapToGrid w:val="0"/>
              <w:jc w:val="center"/>
              <w:rPr>
                <w:rFonts w:ascii="宋体" w:hAnsi="宋体"/>
                <w:szCs w:val="21"/>
              </w:rPr>
            </w:pPr>
            <w:bookmarkStart w:id="508" w:name="_Toc23018"/>
            <w:r>
              <w:rPr>
                <w:rFonts w:hint="eastAsia" w:ascii="宋体" w:hAnsi="宋体"/>
                <w:szCs w:val="21"/>
              </w:rPr>
              <w:t>7</w:t>
            </w:r>
          </w:p>
        </w:tc>
        <w:tc>
          <w:tcPr>
            <w:tcW w:w="4351" w:type="dxa"/>
            <w:vAlign w:val="center"/>
          </w:tcPr>
          <w:p>
            <w:pPr>
              <w:pStyle w:val="134"/>
              <w:tabs>
                <w:tab w:val="clear" w:pos="1134"/>
              </w:tabs>
              <w:adjustRightInd w:val="0"/>
              <w:snapToGrid w:val="0"/>
              <w:rPr>
                <w:rFonts w:ascii="宋体" w:hAnsi="宋体"/>
                <w:bCs/>
                <w:szCs w:val="21"/>
              </w:rPr>
            </w:pPr>
            <w:r>
              <w:rPr>
                <w:rFonts w:hint="eastAsia" w:ascii="宋体" w:hAnsi="宋体"/>
                <w:bCs/>
                <w:szCs w:val="21"/>
              </w:rPr>
              <w:t>建设项目的安全设施有下列情形之一的，建设单位不得通过竣工验收，并不得投入生产或者使用：</w:t>
            </w:r>
          </w:p>
          <w:p>
            <w:pPr>
              <w:pStyle w:val="134"/>
              <w:tabs>
                <w:tab w:val="clear" w:pos="1134"/>
              </w:tabs>
              <w:adjustRightInd w:val="0"/>
              <w:snapToGrid w:val="0"/>
              <w:rPr>
                <w:rFonts w:ascii="宋体" w:hAnsi="宋体"/>
                <w:bCs/>
                <w:szCs w:val="21"/>
              </w:rPr>
            </w:pPr>
            <w:r>
              <w:rPr>
                <w:rFonts w:hint="eastAsia" w:ascii="宋体" w:hAnsi="宋体"/>
                <w:bCs/>
                <w:szCs w:val="21"/>
              </w:rPr>
              <w:t>（一）未选择具有相应资质的施工单位施工的；</w:t>
            </w:r>
          </w:p>
          <w:p>
            <w:pPr>
              <w:pStyle w:val="134"/>
              <w:tabs>
                <w:tab w:val="clear" w:pos="1134"/>
              </w:tabs>
              <w:adjustRightInd w:val="0"/>
              <w:snapToGrid w:val="0"/>
              <w:rPr>
                <w:rFonts w:ascii="宋体" w:hAnsi="宋体"/>
                <w:bCs/>
                <w:szCs w:val="21"/>
              </w:rPr>
            </w:pPr>
            <w:r>
              <w:rPr>
                <w:rFonts w:hint="eastAsia" w:ascii="宋体" w:hAnsi="宋体"/>
                <w:bCs/>
                <w:szCs w:val="21"/>
              </w:rPr>
              <w:t>（二）未按照建设项目安全设施设计文件施工或者施工质量未达到建设项目安全设施设计文件要求的；</w:t>
            </w:r>
          </w:p>
          <w:p>
            <w:pPr>
              <w:pStyle w:val="134"/>
              <w:tabs>
                <w:tab w:val="clear" w:pos="1134"/>
              </w:tabs>
              <w:adjustRightInd w:val="0"/>
              <w:snapToGrid w:val="0"/>
              <w:rPr>
                <w:rFonts w:ascii="宋体" w:hAnsi="宋体"/>
                <w:bCs/>
                <w:szCs w:val="21"/>
              </w:rPr>
            </w:pPr>
            <w:r>
              <w:rPr>
                <w:rFonts w:hint="eastAsia" w:ascii="宋体" w:hAnsi="宋体"/>
                <w:bCs/>
                <w:szCs w:val="21"/>
              </w:rPr>
              <w:t>（三）建设项目安全设施的施工不符合国家有关施工技术标准的；</w:t>
            </w:r>
          </w:p>
          <w:p>
            <w:pPr>
              <w:pStyle w:val="134"/>
              <w:tabs>
                <w:tab w:val="clear" w:pos="1134"/>
              </w:tabs>
              <w:adjustRightInd w:val="0"/>
              <w:snapToGrid w:val="0"/>
              <w:rPr>
                <w:rFonts w:ascii="宋体" w:hAnsi="宋体"/>
                <w:bCs/>
                <w:szCs w:val="21"/>
              </w:rPr>
            </w:pPr>
            <w:r>
              <w:rPr>
                <w:rFonts w:hint="eastAsia" w:ascii="宋体" w:hAnsi="宋体"/>
                <w:bCs/>
                <w:szCs w:val="21"/>
              </w:rPr>
              <w:t>（四）未选择具有相应资质的安全评价机构进行安全验收评价或者安全验收评价不合格的；</w:t>
            </w:r>
          </w:p>
          <w:p>
            <w:pPr>
              <w:pStyle w:val="134"/>
              <w:tabs>
                <w:tab w:val="clear" w:pos="1134"/>
              </w:tabs>
              <w:adjustRightInd w:val="0"/>
              <w:snapToGrid w:val="0"/>
              <w:rPr>
                <w:rFonts w:ascii="宋体" w:hAnsi="宋体"/>
                <w:bCs/>
                <w:szCs w:val="21"/>
              </w:rPr>
            </w:pPr>
            <w:r>
              <w:rPr>
                <w:rFonts w:hint="eastAsia" w:ascii="宋体" w:hAnsi="宋体"/>
                <w:bCs/>
                <w:szCs w:val="21"/>
              </w:rPr>
              <w:t>（五）安全设施和安全生产条件不符合有关安全生产法律、法规、规章和国家标准或者行业标准、技术规范规定的；</w:t>
            </w:r>
          </w:p>
          <w:p>
            <w:pPr>
              <w:pStyle w:val="134"/>
              <w:tabs>
                <w:tab w:val="clear" w:pos="1134"/>
              </w:tabs>
              <w:adjustRightInd w:val="0"/>
              <w:snapToGrid w:val="0"/>
              <w:rPr>
                <w:rFonts w:ascii="宋体" w:hAnsi="宋体"/>
                <w:bCs/>
                <w:szCs w:val="21"/>
              </w:rPr>
            </w:pPr>
            <w:r>
              <w:rPr>
                <w:rFonts w:hint="eastAsia" w:ascii="宋体" w:hAnsi="宋体"/>
                <w:bCs/>
                <w:szCs w:val="21"/>
              </w:rPr>
              <w:t>（六）发现建设项目试运行期间存在事故隐患未整改的；</w:t>
            </w:r>
          </w:p>
          <w:p>
            <w:pPr>
              <w:pStyle w:val="134"/>
              <w:tabs>
                <w:tab w:val="clear" w:pos="1134"/>
              </w:tabs>
              <w:adjustRightInd w:val="0"/>
              <w:snapToGrid w:val="0"/>
              <w:rPr>
                <w:rFonts w:ascii="宋体" w:hAnsi="宋体"/>
                <w:bCs/>
                <w:szCs w:val="21"/>
              </w:rPr>
            </w:pPr>
            <w:r>
              <w:rPr>
                <w:rFonts w:hint="eastAsia" w:ascii="宋体" w:hAnsi="宋体"/>
                <w:bCs/>
                <w:szCs w:val="21"/>
              </w:rPr>
              <w:t>（七）未依法设置安全生产管理机构或者配备安全生产管理人员的；</w:t>
            </w:r>
          </w:p>
          <w:p>
            <w:pPr>
              <w:pStyle w:val="134"/>
              <w:tabs>
                <w:tab w:val="clear" w:pos="1134"/>
              </w:tabs>
              <w:adjustRightInd w:val="0"/>
              <w:snapToGrid w:val="0"/>
              <w:rPr>
                <w:rFonts w:ascii="宋体" w:hAnsi="宋体"/>
                <w:bCs/>
                <w:szCs w:val="21"/>
              </w:rPr>
            </w:pPr>
            <w:r>
              <w:rPr>
                <w:rFonts w:hint="eastAsia" w:ascii="宋体" w:hAnsi="宋体"/>
                <w:bCs/>
                <w:szCs w:val="21"/>
              </w:rPr>
              <w:t>（八）从业人员未经过安全生产教育和培训或者不具备相应资格的；</w:t>
            </w:r>
          </w:p>
          <w:p>
            <w:pPr>
              <w:pStyle w:val="134"/>
              <w:tabs>
                <w:tab w:val="clear" w:pos="1134"/>
              </w:tabs>
              <w:adjustRightInd w:val="0"/>
              <w:snapToGrid w:val="0"/>
              <w:rPr>
                <w:rFonts w:ascii="宋体" w:hAnsi="宋体"/>
                <w:bCs/>
                <w:szCs w:val="21"/>
              </w:rPr>
            </w:pPr>
            <w:r>
              <w:rPr>
                <w:rFonts w:hint="eastAsia" w:ascii="宋体" w:hAnsi="宋体"/>
                <w:bCs/>
                <w:szCs w:val="21"/>
              </w:rPr>
              <w:t>（九）不符合法律、行政法规规定的其他条件的。</w:t>
            </w:r>
          </w:p>
        </w:tc>
        <w:tc>
          <w:tcPr>
            <w:tcW w:w="2088" w:type="dxa"/>
            <w:vAlign w:val="center"/>
          </w:tcPr>
          <w:p>
            <w:pPr>
              <w:pStyle w:val="134"/>
              <w:tabs>
                <w:tab w:val="clear" w:pos="1134"/>
              </w:tabs>
              <w:adjustRightInd w:val="0"/>
              <w:snapToGrid w:val="0"/>
              <w:jc w:val="center"/>
              <w:rPr>
                <w:rFonts w:ascii="宋体" w:hAnsi="宋体"/>
                <w:bCs/>
                <w:szCs w:val="21"/>
              </w:rPr>
            </w:pPr>
            <w:r>
              <w:rPr>
                <w:rFonts w:hint="eastAsia" w:ascii="宋体" w:hAnsi="宋体"/>
                <w:bCs/>
                <w:szCs w:val="21"/>
              </w:rPr>
              <w:t>《建设项目安全设施“三同时”监督管理办法》（安监总局令第77号修订）第二十四条</w:t>
            </w:r>
          </w:p>
        </w:tc>
        <w:tc>
          <w:tcPr>
            <w:tcW w:w="2160" w:type="dxa"/>
            <w:vAlign w:val="center"/>
          </w:tcPr>
          <w:p>
            <w:pPr>
              <w:pStyle w:val="134"/>
              <w:tabs>
                <w:tab w:val="clear" w:pos="1134"/>
              </w:tabs>
              <w:adjustRightInd w:val="0"/>
              <w:snapToGrid w:val="0"/>
              <w:rPr>
                <w:rFonts w:ascii="宋体" w:hAnsi="宋体"/>
                <w:bCs/>
                <w:szCs w:val="21"/>
              </w:rPr>
            </w:pPr>
            <w:r>
              <w:rPr>
                <w:rFonts w:hint="eastAsia" w:ascii="宋体" w:hAnsi="宋体"/>
                <w:bCs/>
                <w:szCs w:val="21"/>
              </w:rPr>
              <w:t>（一）施工单位具有设备安装等相关资质；</w:t>
            </w:r>
          </w:p>
          <w:p>
            <w:pPr>
              <w:pStyle w:val="134"/>
              <w:tabs>
                <w:tab w:val="clear" w:pos="1134"/>
              </w:tabs>
              <w:adjustRightInd w:val="0"/>
              <w:snapToGrid w:val="0"/>
              <w:rPr>
                <w:rFonts w:ascii="宋体" w:hAnsi="宋体"/>
                <w:bCs/>
                <w:szCs w:val="21"/>
              </w:rPr>
            </w:pPr>
            <w:r>
              <w:rPr>
                <w:rFonts w:hint="eastAsia" w:ascii="宋体" w:hAnsi="宋体"/>
                <w:bCs/>
                <w:szCs w:val="21"/>
              </w:rPr>
              <w:t>（二）按照安全设施设计文件施工；</w:t>
            </w:r>
          </w:p>
          <w:p>
            <w:pPr>
              <w:pStyle w:val="134"/>
              <w:tabs>
                <w:tab w:val="clear" w:pos="1134"/>
              </w:tabs>
              <w:adjustRightInd w:val="0"/>
              <w:snapToGrid w:val="0"/>
              <w:rPr>
                <w:rFonts w:ascii="宋体" w:hAnsi="宋体"/>
                <w:bCs/>
                <w:szCs w:val="21"/>
              </w:rPr>
            </w:pPr>
            <w:r>
              <w:rPr>
                <w:rFonts w:hint="eastAsia" w:ascii="宋体" w:hAnsi="宋体"/>
                <w:bCs/>
                <w:szCs w:val="21"/>
              </w:rPr>
              <w:t>（三）安全设施的施工符合国家有关施工技术标准的；</w:t>
            </w:r>
          </w:p>
          <w:p>
            <w:pPr>
              <w:pStyle w:val="134"/>
              <w:tabs>
                <w:tab w:val="clear" w:pos="1134"/>
              </w:tabs>
              <w:adjustRightInd w:val="0"/>
              <w:snapToGrid w:val="0"/>
              <w:rPr>
                <w:rFonts w:ascii="宋体" w:hAnsi="宋体"/>
                <w:bCs/>
                <w:szCs w:val="21"/>
              </w:rPr>
            </w:pPr>
            <w:r>
              <w:rPr>
                <w:rFonts w:hint="eastAsia" w:ascii="宋体" w:hAnsi="宋体"/>
                <w:bCs/>
                <w:szCs w:val="21"/>
              </w:rPr>
              <w:t>（四）评价机构具有相关评价资质；</w:t>
            </w:r>
          </w:p>
          <w:p>
            <w:pPr>
              <w:pStyle w:val="134"/>
              <w:tabs>
                <w:tab w:val="clear" w:pos="1134"/>
              </w:tabs>
              <w:adjustRightInd w:val="0"/>
              <w:snapToGrid w:val="0"/>
              <w:rPr>
                <w:rFonts w:ascii="宋体" w:hAnsi="宋体"/>
                <w:bCs/>
                <w:szCs w:val="21"/>
              </w:rPr>
            </w:pPr>
            <w:r>
              <w:rPr>
                <w:rFonts w:hint="eastAsia" w:ascii="宋体" w:hAnsi="宋体"/>
                <w:bCs/>
                <w:szCs w:val="21"/>
              </w:rPr>
              <w:t>（五）安全设施和安全生产条件符合有关安全生产法律、法规、规章和国家标准或者行业标准、技术规范规定的；</w:t>
            </w:r>
          </w:p>
          <w:p>
            <w:pPr>
              <w:pStyle w:val="134"/>
              <w:tabs>
                <w:tab w:val="clear" w:pos="1134"/>
              </w:tabs>
              <w:adjustRightInd w:val="0"/>
              <w:snapToGrid w:val="0"/>
              <w:rPr>
                <w:rFonts w:ascii="宋体" w:hAnsi="宋体"/>
                <w:bCs/>
                <w:szCs w:val="21"/>
              </w:rPr>
            </w:pPr>
            <w:r>
              <w:rPr>
                <w:rFonts w:hint="eastAsia" w:ascii="宋体" w:hAnsi="宋体"/>
                <w:bCs/>
                <w:szCs w:val="21"/>
              </w:rPr>
              <w:t>（六）存在的事故隐患已整改；</w:t>
            </w:r>
          </w:p>
          <w:p>
            <w:pPr>
              <w:pStyle w:val="134"/>
              <w:tabs>
                <w:tab w:val="clear" w:pos="1134"/>
              </w:tabs>
              <w:adjustRightInd w:val="0"/>
              <w:snapToGrid w:val="0"/>
              <w:rPr>
                <w:rFonts w:ascii="宋体" w:hAnsi="宋体"/>
                <w:bCs/>
                <w:szCs w:val="21"/>
              </w:rPr>
            </w:pPr>
            <w:r>
              <w:rPr>
                <w:rFonts w:hint="eastAsia" w:ascii="宋体" w:hAnsi="宋体"/>
                <w:bCs/>
                <w:szCs w:val="21"/>
              </w:rPr>
              <w:t>（七）设置了安全生产管理机构、配备了安全生产管理人员的；</w:t>
            </w:r>
          </w:p>
          <w:p>
            <w:pPr>
              <w:pStyle w:val="134"/>
              <w:tabs>
                <w:tab w:val="clear" w:pos="1134"/>
              </w:tabs>
              <w:adjustRightInd w:val="0"/>
              <w:snapToGrid w:val="0"/>
              <w:rPr>
                <w:rFonts w:ascii="宋体" w:hAnsi="宋体"/>
                <w:bCs/>
                <w:szCs w:val="21"/>
              </w:rPr>
            </w:pPr>
            <w:r>
              <w:rPr>
                <w:rFonts w:hint="eastAsia" w:ascii="宋体" w:hAnsi="宋体"/>
                <w:bCs/>
                <w:szCs w:val="21"/>
              </w:rPr>
              <w:t>（八）从业人员已经过安全生产教育和培训；</w:t>
            </w:r>
          </w:p>
          <w:p>
            <w:pPr>
              <w:pStyle w:val="134"/>
              <w:tabs>
                <w:tab w:val="clear" w:pos="1134"/>
              </w:tabs>
              <w:adjustRightInd w:val="0"/>
              <w:snapToGrid w:val="0"/>
              <w:rPr>
                <w:rFonts w:ascii="宋体" w:hAnsi="宋体"/>
                <w:bCs/>
                <w:szCs w:val="21"/>
              </w:rPr>
            </w:pPr>
            <w:r>
              <w:rPr>
                <w:rFonts w:hint="eastAsia" w:ascii="宋体" w:hAnsi="宋体"/>
                <w:bCs/>
                <w:szCs w:val="21"/>
              </w:rPr>
              <w:t>（九）符合其他法律、行政法规规定的其他条件。</w:t>
            </w:r>
          </w:p>
        </w:tc>
        <w:tc>
          <w:tcPr>
            <w:tcW w:w="690" w:type="dxa"/>
          </w:tcPr>
          <w:p>
            <w:pPr>
              <w:snapToGrid w:val="0"/>
              <w:jc w:val="center"/>
              <w:rPr>
                <w:rFonts w:ascii="宋体" w:hAnsi="宋体"/>
                <w:szCs w:val="21"/>
              </w:rPr>
            </w:pPr>
          </w:p>
        </w:tc>
      </w:tr>
    </w:tbl>
    <w:p/>
    <w:p>
      <w:pPr>
        <w:pStyle w:val="5"/>
        <w:keepNext w:val="0"/>
        <w:keepLines w:val="0"/>
        <w:snapToGrid w:val="0"/>
        <w:spacing w:before="0" w:after="0" w:line="360" w:lineRule="auto"/>
        <w:rPr>
          <w:rFonts w:ascii="宋体" w:hAnsi="宋体" w:cs="宋体"/>
          <w:sz w:val="28"/>
          <w:szCs w:val="28"/>
        </w:rPr>
      </w:pPr>
      <w:bookmarkStart w:id="509" w:name="_Toc19365"/>
      <w:bookmarkStart w:id="510" w:name="_Toc3917"/>
      <w:r>
        <w:rPr>
          <w:rFonts w:hint="eastAsia" w:ascii="宋体" w:hAnsi="宋体" w:cs="宋体"/>
          <w:sz w:val="28"/>
          <w:szCs w:val="28"/>
        </w:rPr>
        <w:t>5.1.2</w:t>
      </w:r>
      <w:r>
        <w:rPr>
          <w:rFonts w:hint="eastAsia" w:ascii="宋体" w:hAnsi="宋体" w:cs="宋体"/>
          <w:sz w:val="28"/>
          <w:szCs w:val="28"/>
          <w:lang w:val="en-US" w:eastAsia="zh-CN"/>
        </w:rPr>
        <w:t xml:space="preserve"> </w:t>
      </w:r>
      <w:r>
        <w:rPr>
          <w:rFonts w:hint="eastAsia" w:ascii="宋体" w:hAnsi="宋体" w:cs="宋体"/>
          <w:sz w:val="28"/>
          <w:szCs w:val="28"/>
        </w:rPr>
        <w:t>单元小结</w:t>
      </w:r>
      <w:bookmarkEnd w:id="509"/>
      <w:bookmarkEnd w:id="510"/>
    </w:p>
    <w:bookmarkEnd w:id="508"/>
    <w:p>
      <w:pPr>
        <w:adjustRightInd w:val="0"/>
        <w:snapToGrid w:val="0"/>
        <w:spacing w:line="360" w:lineRule="auto"/>
        <w:ind w:firstLine="560" w:firstLineChars="200"/>
        <w:jc w:val="left"/>
        <w:rPr>
          <w:rFonts w:ascii="宋体" w:hAnsi="宋体" w:cs="宋体"/>
          <w:kern w:val="0"/>
        </w:rPr>
      </w:pPr>
      <w:r>
        <w:rPr>
          <w:rFonts w:hint="eastAsia" w:ascii="宋体" w:hAnsi="宋体" w:cs="宋体"/>
          <w:kern w:val="0"/>
          <w:sz w:val="28"/>
          <w:szCs w:val="28"/>
        </w:rPr>
        <w:t>本项目建设过程认真执行国家有关制度和规定、落实了国家对新建、改建、扩建项目安全设施“三同时”要求。</w:t>
      </w:r>
    </w:p>
    <w:p>
      <w:pPr>
        <w:pStyle w:val="4"/>
        <w:keepNext w:val="0"/>
        <w:keepLines w:val="0"/>
        <w:snapToGrid w:val="0"/>
        <w:spacing w:before="0" w:after="0" w:line="360" w:lineRule="auto"/>
        <w:jc w:val="left"/>
        <w:rPr>
          <w:rFonts w:ascii="宋体" w:hAnsi="宋体" w:cs="宋体"/>
          <w:snapToGrid/>
          <w:kern w:val="2"/>
        </w:rPr>
      </w:pPr>
      <w:bookmarkStart w:id="511" w:name="_Toc1278"/>
      <w:bookmarkStart w:id="512" w:name="_Toc25200"/>
      <w:r>
        <w:rPr>
          <w:rFonts w:hint="eastAsia" w:ascii="宋体" w:hAnsi="宋体" w:cs="宋体"/>
          <w:snapToGrid/>
          <w:kern w:val="2"/>
        </w:rPr>
        <w:t>5.2</w:t>
      </w:r>
      <w:r>
        <w:rPr>
          <w:rFonts w:hint="eastAsia" w:ascii="宋体" w:hAnsi="宋体" w:cs="宋体"/>
          <w:snapToGrid/>
          <w:kern w:val="2"/>
          <w:lang w:val="en-US" w:eastAsia="zh-CN"/>
        </w:rPr>
        <w:t xml:space="preserve"> </w:t>
      </w:r>
      <w:r>
        <w:rPr>
          <w:rFonts w:hint="eastAsia" w:ascii="宋体" w:hAnsi="宋体" w:cs="宋体"/>
          <w:snapToGrid/>
          <w:kern w:val="2"/>
        </w:rPr>
        <w:t>总平面布置分析评价单元</w:t>
      </w:r>
      <w:bookmarkEnd w:id="502"/>
      <w:bookmarkEnd w:id="511"/>
      <w:bookmarkEnd w:id="512"/>
    </w:p>
    <w:p>
      <w:pPr>
        <w:pStyle w:val="5"/>
        <w:keepNext w:val="0"/>
        <w:keepLines w:val="0"/>
        <w:snapToGrid w:val="0"/>
        <w:spacing w:before="0" w:after="0" w:line="360" w:lineRule="auto"/>
        <w:rPr>
          <w:rFonts w:ascii="宋体" w:hAnsi="宋体" w:cs="宋体"/>
          <w:sz w:val="28"/>
          <w:szCs w:val="28"/>
        </w:rPr>
      </w:pPr>
      <w:bookmarkStart w:id="513" w:name="_Toc1092"/>
      <w:bookmarkStart w:id="514" w:name="_Toc8929"/>
      <w:bookmarkStart w:id="515" w:name="_Toc32122"/>
      <w:r>
        <w:rPr>
          <w:rFonts w:hint="eastAsia" w:ascii="宋体" w:hAnsi="宋体" w:cs="宋体"/>
          <w:sz w:val="28"/>
          <w:szCs w:val="28"/>
        </w:rPr>
        <w:t>5.2.1</w:t>
      </w:r>
      <w:r>
        <w:rPr>
          <w:rFonts w:hint="eastAsia" w:ascii="宋体" w:hAnsi="宋体" w:cs="宋体"/>
          <w:sz w:val="28"/>
          <w:szCs w:val="28"/>
          <w:lang w:val="en-US" w:eastAsia="zh-CN"/>
        </w:rPr>
        <w:t xml:space="preserve"> </w:t>
      </w:r>
      <w:r>
        <w:rPr>
          <w:rFonts w:hint="eastAsia" w:ascii="宋体" w:hAnsi="宋体" w:cs="宋体"/>
          <w:sz w:val="28"/>
          <w:szCs w:val="28"/>
        </w:rPr>
        <w:t>总平面布置安全检查表</w:t>
      </w:r>
      <w:bookmarkEnd w:id="513"/>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根据《建筑设计防火规范（2018年版）》（GB50016-2014）、《工业企业总平面设计规范》（GB50187-2012）、《生产过程安全卫生要求总则》（GB/T12801-2008）、《工业企业设计卫生标准》（GBZ1-2010）、《机械工程建设项目职业安全卫生设计规范》（GB51155-2016）、《危险化学品中间仓库安全管理规范》</w:t>
      </w:r>
      <w:r>
        <w:rPr>
          <w:rFonts w:hint="eastAsia"/>
          <w:sz w:val="28"/>
          <w:szCs w:val="28"/>
        </w:rPr>
        <w:t>（</w:t>
      </w:r>
      <w:r>
        <w:rPr>
          <w:rFonts w:hint="eastAsia"/>
          <w:sz w:val="28"/>
          <w:szCs w:val="28"/>
          <w:lang w:val="en-US" w:eastAsia="zh-CN"/>
        </w:rPr>
        <w:t>D</w:t>
      </w:r>
      <w:r>
        <w:rPr>
          <w:rFonts w:hint="eastAsia"/>
          <w:sz w:val="28"/>
          <w:szCs w:val="28"/>
        </w:rPr>
        <w:t>B4403/T</w:t>
      </w:r>
      <w:r>
        <w:rPr>
          <w:rFonts w:hint="eastAsia"/>
          <w:sz w:val="28"/>
          <w:szCs w:val="28"/>
          <w:lang w:val="en-US" w:eastAsia="zh-CN"/>
        </w:rPr>
        <w:t>80</w:t>
      </w:r>
      <w:r>
        <w:rPr>
          <w:rFonts w:hint="eastAsia"/>
          <w:sz w:val="28"/>
          <w:szCs w:val="28"/>
        </w:rPr>
        <w:t>-2020）</w:t>
      </w:r>
      <w:r>
        <w:rPr>
          <w:rFonts w:hint="eastAsia"/>
          <w:snapToGrid w:val="0"/>
          <w:kern w:val="0"/>
          <w:sz w:val="28"/>
          <w:szCs w:val="28"/>
        </w:rPr>
        <w:t>等标准、规范，对本项目总平面布置进行评价，具体情况见下表。</w:t>
      </w:r>
    </w:p>
    <w:p>
      <w:pPr>
        <w:snapToGrid w:val="0"/>
        <w:spacing w:line="360" w:lineRule="auto"/>
        <w:jc w:val="center"/>
        <w:rPr>
          <w:rFonts w:ascii="宋体" w:hAnsi="宋体"/>
          <w:sz w:val="24"/>
        </w:rPr>
      </w:pPr>
      <w:r>
        <w:rPr>
          <w:rFonts w:hint="eastAsia" w:ascii="宋体" w:hAnsi="宋体"/>
          <w:sz w:val="24"/>
        </w:rPr>
        <w:t>表5.2-1 总平面布置安全检查表</w:t>
      </w:r>
    </w:p>
    <w:tbl>
      <w:tblPr>
        <w:tblStyle w:val="52"/>
        <w:tblW w:w="985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5"/>
        <w:gridCol w:w="3749"/>
        <w:gridCol w:w="2310"/>
        <w:gridCol w:w="2505"/>
        <w:gridCol w:w="7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7" w:hRule="atLeast"/>
          <w:tblHeader/>
          <w:jc w:val="center"/>
        </w:trPr>
        <w:tc>
          <w:tcPr>
            <w:tcW w:w="535" w:type="dxa"/>
            <w:noWrap/>
            <w:tcMar>
              <w:left w:w="28" w:type="dxa"/>
              <w:right w:w="28" w:type="dxa"/>
            </w:tcMar>
            <w:vAlign w:val="center"/>
          </w:tcPr>
          <w:p>
            <w:pPr>
              <w:adjustRightInd w:val="0"/>
              <w:snapToGrid w:val="0"/>
              <w:jc w:val="center"/>
              <w:rPr>
                <w:rFonts w:ascii="宋体" w:hAnsi="宋体"/>
                <w:b/>
                <w:bCs/>
                <w:sz w:val="24"/>
              </w:rPr>
            </w:pPr>
            <w:r>
              <w:rPr>
                <w:rFonts w:ascii="宋体" w:hAnsi="宋体"/>
                <w:b/>
                <w:bCs/>
                <w:sz w:val="24"/>
              </w:rPr>
              <w:t>序号</w:t>
            </w:r>
          </w:p>
        </w:tc>
        <w:tc>
          <w:tcPr>
            <w:tcW w:w="3749" w:type="dxa"/>
            <w:noWrap/>
            <w:vAlign w:val="center"/>
          </w:tcPr>
          <w:p>
            <w:pPr>
              <w:adjustRightInd w:val="0"/>
              <w:snapToGrid w:val="0"/>
              <w:jc w:val="center"/>
              <w:rPr>
                <w:rFonts w:ascii="宋体" w:hAnsi="宋体"/>
                <w:b/>
                <w:bCs/>
                <w:sz w:val="24"/>
              </w:rPr>
            </w:pPr>
            <w:r>
              <w:rPr>
                <w:rFonts w:ascii="宋体" w:hAnsi="宋体"/>
                <w:b/>
                <w:bCs/>
                <w:sz w:val="24"/>
              </w:rPr>
              <w:t>检查内容</w:t>
            </w:r>
          </w:p>
        </w:tc>
        <w:tc>
          <w:tcPr>
            <w:tcW w:w="2310" w:type="dxa"/>
            <w:noWrap/>
            <w:vAlign w:val="center"/>
          </w:tcPr>
          <w:p>
            <w:pPr>
              <w:adjustRightInd w:val="0"/>
              <w:snapToGrid w:val="0"/>
              <w:jc w:val="center"/>
              <w:rPr>
                <w:rFonts w:ascii="宋体" w:hAnsi="宋体"/>
                <w:b/>
                <w:bCs/>
                <w:sz w:val="24"/>
              </w:rPr>
            </w:pPr>
            <w:r>
              <w:rPr>
                <w:rFonts w:ascii="宋体" w:hAnsi="宋体"/>
                <w:b/>
                <w:bCs/>
                <w:sz w:val="24"/>
              </w:rPr>
              <w:t>检查依据</w:t>
            </w:r>
          </w:p>
        </w:tc>
        <w:tc>
          <w:tcPr>
            <w:tcW w:w="2505" w:type="dxa"/>
            <w:noWrap/>
            <w:vAlign w:val="center"/>
          </w:tcPr>
          <w:p>
            <w:pPr>
              <w:adjustRightInd w:val="0"/>
              <w:snapToGrid w:val="0"/>
              <w:jc w:val="center"/>
              <w:rPr>
                <w:rFonts w:ascii="宋体" w:hAnsi="宋体"/>
                <w:b/>
                <w:bCs/>
                <w:sz w:val="24"/>
              </w:rPr>
            </w:pPr>
            <w:r>
              <w:rPr>
                <w:rFonts w:hint="eastAsia" w:ascii="宋体" w:hAnsi="宋体"/>
                <w:b/>
                <w:sz w:val="24"/>
              </w:rPr>
              <w:t>检查情况</w:t>
            </w:r>
          </w:p>
        </w:tc>
        <w:tc>
          <w:tcPr>
            <w:tcW w:w="760" w:type="dxa"/>
            <w:noWrap/>
            <w:vAlign w:val="center"/>
          </w:tcPr>
          <w:p>
            <w:pPr>
              <w:adjustRightInd w:val="0"/>
              <w:snapToGrid w:val="0"/>
              <w:jc w:val="center"/>
              <w:rPr>
                <w:rFonts w:ascii="宋体" w:hAnsi="宋体"/>
                <w:b/>
                <w:bCs/>
                <w:sz w:val="24"/>
              </w:rPr>
            </w:pPr>
            <w:r>
              <w:rPr>
                <w:rFonts w:hint="eastAsia" w:ascii="宋体" w:hAnsi="宋体"/>
                <w:b/>
                <w:bCs/>
                <w:sz w:val="24"/>
              </w:rPr>
              <w:t>结论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73"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pStyle w:val="30"/>
              <w:snapToGrid w:val="0"/>
              <w:spacing w:line="240" w:lineRule="exact"/>
              <w:ind w:firstLine="0"/>
              <w:jc w:val="both"/>
              <w:rPr>
                <w:rFonts w:ascii="宋体" w:hAnsi="宋体" w:cs="宋体"/>
                <w:sz w:val="21"/>
                <w:szCs w:val="21"/>
              </w:rPr>
            </w:pPr>
            <w:r>
              <w:rPr>
                <w:rFonts w:hint="eastAsia" w:ascii="宋体" w:hAnsi="宋体" w:cs="宋体"/>
                <w:sz w:val="21"/>
                <w:szCs w:val="21"/>
              </w:rPr>
              <w:t>厂区的通道宽度应符合下列规定：1.应符合通道两侧建筑物、构筑物及露天设施对防火、安全与卫生间距的要求；2.应符合铁路、道路与带式输送机通廊等工业运输线路的布置要求；3.应符合各种工程管线的布置要求；4.应符合绿化布置的要求；5.应符合施工、安装与检修的要求；6.应符合竖向设计的要求；7.应符合预留发展用地的要求。</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第5.1.4条</w:t>
            </w:r>
          </w:p>
        </w:tc>
        <w:tc>
          <w:tcPr>
            <w:tcW w:w="2505" w:type="dxa"/>
            <w:noWrap/>
            <w:vAlign w:val="center"/>
          </w:tcPr>
          <w:p>
            <w:pPr>
              <w:pStyle w:val="30"/>
              <w:snapToGrid w:val="0"/>
              <w:spacing w:line="240" w:lineRule="exact"/>
              <w:ind w:firstLine="0"/>
              <w:jc w:val="both"/>
              <w:rPr>
                <w:rFonts w:ascii="宋体" w:hAnsi="宋体" w:cs="宋体"/>
                <w:sz w:val="21"/>
                <w:szCs w:val="21"/>
              </w:rPr>
            </w:pPr>
            <w:r>
              <w:rPr>
                <w:rFonts w:hint="eastAsia" w:ascii="宋体" w:hAnsi="宋体" w:cs="宋体"/>
                <w:sz w:val="21"/>
                <w:szCs w:val="21"/>
              </w:rPr>
              <w:t>厂区的主干道宽19m，含中间绿化隔离带和人行道，次干道宽12m，支路宽6m。道路采用双坡立道牙城市型，混凝土路面。符合通道两侧建筑物、构筑物及露天设施对防火、安全与卫生间距的要求；符合道路等工业运输线路的布置要求。</w:t>
            </w:r>
          </w:p>
        </w:tc>
        <w:tc>
          <w:tcPr>
            <w:tcW w:w="760" w:type="dxa"/>
            <w:noWrap/>
            <w:vAlign w:val="center"/>
          </w:tcPr>
          <w:p>
            <w:pPr>
              <w:pStyle w:val="30"/>
              <w:snapToGrid w:val="0"/>
              <w:spacing w:line="240" w:lineRule="exact"/>
              <w:ind w:firstLine="0"/>
              <w:jc w:val="center"/>
              <w:rPr>
                <w:rFonts w:ascii="宋体" w:hAnsi="宋体" w:cs="宋体"/>
                <w:sz w:val="21"/>
                <w:szCs w:val="21"/>
              </w:rPr>
            </w:pPr>
            <w:r>
              <w:rPr>
                <w:rFonts w:hint="eastAsia" w:ascii="宋体" w:hAnsi="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22"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pStyle w:val="30"/>
              <w:snapToGrid w:val="0"/>
              <w:spacing w:line="240" w:lineRule="exact"/>
              <w:ind w:firstLine="0"/>
              <w:jc w:val="both"/>
              <w:rPr>
                <w:rFonts w:ascii="宋体" w:hAnsi="宋体" w:cs="宋体"/>
                <w:sz w:val="21"/>
                <w:szCs w:val="21"/>
              </w:rPr>
            </w:pPr>
            <w:r>
              <w:rPr>
                <w:rFonts w:hint="eastAsia" w:ascii="宋体" w:hAnsi="宋体" w:cs="宋体"/>
                <w:sz w:val="21"/>
                <w:szCs w:val="21"/>
              </w:rPr>
              <w:t>总平面布置应合理地组织货流和人流，并应符合下列规定：1.运输线路的布置，应保证物流顺畅、径路短捷、不折返；2.应避免运输繁忙的铁路与道路平面交叉；3.应使人、货分流，应避免运输繁忙的货流与人流交叉；4.应避免进出厂的主要货流与企业外部交通干线的平面交叉。</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第5.1.8条</w:t>
            </w:r>
          </w:p>
        </w:tc>
        <w:tc>
          <w:tcPr>
            <w:tcW w:w="2505" w:type="dxa"/>
            <w:noWrap/>
            <w:vAlign w:val="center"/>
          </w:tcPr>
          <w:p>
            <w:pPr>
              <w:pStyle w:val="30"/>
              <w:snapToGrid w:val="0"/>
              <w:spacing w:line="240" w:lineRule="exact"/>
              <w:ind w:firstLine="0"/>
              <w:jc w:val="both"/>
              <w:rPr>
                <w:rFonts w:ascii="宋体" w:hAnsi="宋体" w:cs="宋体"/>
                <w:sz w:val="21"/>
                <w:szCs w:val="21"/>
              </w:rPr>
            </w:pPr>
            <w:r>
              <w:rPr>
                <w:rFonts w:hint="eastAsia" w:ascii="宋体" w:hAnsi="宋体" w:cs="宋体"/>
                <w:sz w:val="21"/>
                <w:szCs w:val="21"/>
              </w:rPr>
              <w:t>运输线路的布置，物流顺畅、径路短捷、不折返。人、货分流。</w:t>
            </w:r>
          </w:p>
        </w:tc>
        <w:tc>
          <w:tcPr>
            <w:tcW w:w="760" w:type="dxa"/>
            <w:noWrap/>
            <w:vAlign w:val="center"/>
          </w:tcPr>
          <w:p>
            <w:pPr>
              <w:pStyle w:val="30"/>
              <w:snapToGrid w:val="0"/>
              <w:spacing w:line="240" w:lineRule="exact"/>
              <w:ind w:firstLine="0"/>
              <w:jc w:val="center"/>
              <w:rPr>
                <w:rFonts w:ascii="宋体" w:hAnsi="宋体" w:cs="宋体"/>
                <w:sz w:val="21"/>
                <w:szCs w:val="21"/>
              </w:rPr>
            </w:pPr>
            <w:r>
              <w:rPr>
                <w:rFonts w:hint="eastAsia" w:ascii="宋体" w:hAnsi="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9"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pStyle w:val="30"/>
              <w:snapToGrid w:val="0"/>
              <w:spacing w:line="240" w:lineRule="exact"/>
              <w:ind w:firstLine="0"/>
              <w:rPr>
                <w:rFonts w:ascii="宋体" w:hAnsi="宋体" w:cs="宋体"/>
                <w:sz w:val="21"/>
                <w:szCs w:val="21"/>
              </w:rPr>
            </w:pPr>
            <w:r>
              <w:rPr>
                <w:rFonts w:hint="eastAsia" w:ascii="宋体" w:hAnsi="宋体" w:cs="宋体"/>
                <w:sz w:val="21"/>
                <w:szCs w:val="21"/>
              </w:rPr>
              <w:t>工业企业的建筑物、构筑物之间及其与铁路、道路之间的防火间距，以及消防通道的设置，应执行现行国家《建筑设计防火规范》GB50016 等有关的规定。</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第5.1.10条</w:t>
            </w:r>
          </w:p>
        </w:tc>
        <w:tc>
          <w:tcPr>
            <w:tcW w:w="2505" w:type="dxa"/>
            <w:noWrap/>
            <w:vAlign w:val="center"/>
          </w:tcPr>
          <w:p>
            <w:pPr>
              <w:pStyle w:val="30"/>
              <w:snapToGrid w:val="0"/>
              <w:spacing w:line="240" w:lineRule="exact"/>
              <w:ind w:firstLine="0"/>
              <w:jc w:val="both"/>
              <w:rPr>
                <w:rFonts w:ascii="宋体" w:hAnsi="宋体" w:cs="宋体"/>
                <w:sz w:val="21"/>
                <w:szCs w:val="21"/>
              </w:rPr>
            </w:pPr>
            <w:r>
              <w:rPr>
                <w:rFonts w:hint="eastAsia" w:ascii="宋体" w:hAnsi="宋体" w:cs="宋体"/>
                <w:sz w:val="21"/>
                <w:szCs w:val="21"/>
              </w:rPr>
              <w:t>建筑物、构筑物之间及其与道路之间的防火间距，以及消防通道的设置，执行现行国家《建筑设计防火规范》（GB50016-2014）等有关的规定。</w:t>
            </w:r>
          </w:p>
        </w:tc>
        <w:tc>
          <w:tcPr>
            <w:tcW w:w="760" w:type="dxa"/>
            <w:noWrap/>
            <w:vAlign w:val="center"/>
          </w:tcPr>
          <w:p>
            <w:pPr>
              <w:pStyle w:val="30"/>
              <w:snapToGrid w:val="0"/>
              <w:spacing w:line="240" w:lineRule="exact"/>
              <w:ind w:firstLine="0"/>
              <w:jc w:val="center"/>
              <w:rPr>
                <w:rFonts w:ascii="宋体" w:hAnsi="宋体" w:cs="宋体"/>
                <w:sz w:val="21"/>
                <w:szCs w:val="21"/>
              </w:rPr>
            </w:pPr>
            <w:r>
              <w:rPr>
                <w:rFonts w:hint="eastAsia" w:ascii="宋体" w:hAnsi="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60"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tcPr>
          <w:p>
            <w:pPr>
              <w:snapToGrid w:val="0"/>
              <w:spacing w:line="300" w:lineRule="exact"/>
              <w:rPr>
                <w:rFonts w:ascii="宋体" w:hAnsi="宋体" w:cs="宋体"/>
                <w:szCs w:val="21"/>
              </w:rPr>
            </w:pPr>
            <w:r>
              <w:rPr>
                <w:rFonts w:hint="eastAsia" w:ascii="宋体" w:hAnsi="宋体" w:cs="宋体"/>
                <w:szCs w:val="21"/>
              </w:rPr>
              <w:t>全厂性修理设施宜集中布置 ；车间维修设施 ，应在确保生产安全前提下 ，靠近主要用户布置 。</w:t>
            </w:r>
          </w:p>
        </w:tc>
        <w:tc>
          <w:tcPr>
            <w:tcW w:w="2310" w:type="dxa"/>
            <w:noWrap/>
            <w:vAlign w:val="center"/>
          </w:tcPr>
          <w:p>
            <w:pPr>
              <w:snapToGrid w:val="0"/>
              <w:spacing w:line="300" w:lineRule="exact"/>
              <w:jc w:val="center"/>
              <w:rPr>
                <w:rFonts w:ascii="宋体" w:hAnsi="宋体" w:cs="宋体"/>
                <w:szCs w:val="21"/>
              </w:rPr>
            </w:pPr>
            <w:r>
              <w:rPr>
                <w:rFonts w:hint="eastAsia" w:ascii="宋体" w:hAnsi="宋体" w:cs="宋体"/>
                <w:szCs w:val="21"/>
              </w:rPr>
              <w:t>《工业企业总平面设计规范》（GB50187-2012）第5.4.1条</w:t>
            </w:r>
          </w:p>
        </w:tc>
        <w:tc>
          <w:tcPr>
            <w:tcW w:w="2505" w:type="dxa"/>
            <w:noWrap/>
            <w:vAlign w:val="center"/>
          </w:tcPr>
          <w:p>
            <w:pPr>
              <w:snapToGrid w:val="0"/>
              <w:spacing w:line="300" w:lineRule="exact"/>
              <w:rPr>
                <w:rFonts w:ascii="宋体" w:hAnsi="宋体" w:cs="宋体"/>
                <w:szCs w:val="21"/>
              </w:rPr>
            </w:pPr>
            <w:r>
              <w:rPr>
                <w:rFonts w:hint="eastAsia" w:ascii="宋体" w:hAnsi="宋体" w:cs="宋体"/>
                <w:szCs w:val="21"/>
              </w:rPr>
              <w:t>项目的修理设施依托公司现有检修设施或外委，未新增全场性修理设施。</w:t>
            </w:r>
          </w:p>
        </w:tc>
        <w:tc>
          <w:tcPr>
            <w:tcW w:w="760" w:type="dxa"/>
            <w:noWrap/>
            <w:vAlign w:val="center"/>
          </w:tcPr>
          <w:p>
            <w:pPr>
              <w:snapToGrid w:val="0"/>
              <w:spacing w:line="300" w:lineRule="exact"/>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70"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color w:val="000000"/>
                <w:szCs w:val="21"/>
              </w:rPr>
            </w:pPr>
            <w:r>
              <w:rPr>
                <w:rFonts w:hint="eastAsia" w:ascii="宋体" w:hAnsi="宋体"/>
                <w:color w:val="000000"/>
                <w:szCs w:val="21"/>
              </w:rPr>
              <w:t>压缩空气站的布置应符合下列要求：</w:t>
            </w:r>
          </w:p>
          <w:p>
            <w:pPr>
              <w:adjustRightInd w:val="0"/>
              <w:snapToGrid w:val="0"/>
              <w:rPr>
                <w:rFonts w:ascii="宋体" w:hAnsi="宋体"/>
                <w:color w:val="000000"/>
                <w:szCs w:val="21"/>
              </w:rPr>
            </w:pPr>
            <w:r>
              <w:rPr>
                <w:rFonts w:hint="eastAsia" w:ascii="宋体" w:hAnsi="宋体"/>
                <w:color w:val="000000"/>
                <w:szCs w:val="21"/>
              </w:rPr>
              <w:t>1）应位于空气洁净的地段，应避免靠近散发爆炸性、腐蚀性和有害气体及粉尘等场所，并应位于散发爆炸性、腐蚀性和有害气体及粉尘等场所全年最小频率风向的下风侧；</w:t>
            </w:r>
          </w:p>
          <w:p>
            <w:pPr>
              <w:adjustRightInd w:val="0"/>
              <w:snapToGrid w:val="0"/>
              <w:rPr>
                <w:rFonts w:ascii="宋体" w:hAnsi="宋体"/>
                <w:color w:val="000000"/>
                <w:szCs w:val="21"/>
              </w:rPr>
            </w:pPr>
            <w:r>
              <w:rPr>
                <w:rFonts w:hint="eastAsia" w:ascii="宋体" w:hAnsi="宋体"/>
                <w:color w:val="000000"/>
                <w:szCs w:val="21"/>
              </w:rPr>
              <w:t>2）压缩空气站的朝向，应结合地形、气象条件，使站内有良好的通风和采光。贮气罐宜布置在站房的北侧；</w:t>
            </w:r>
          </w:p>
          <w:p>
            <w:pPr>
              <w:adjustRightInd w:val="0"/>
              <w:snapToGrid w:val="0"/>
              <w:rPr>
                <w:rFonts w:ascii="宋体" w:hAnsi="宋体"/>
                <w:color w:val="000000"/>
                <w:szCs w:val="21"/>
              </w:rPr>
            </w:pPr>
            <w:r>
              <w:rPr>
                <w:rFonts w:hint="eastAsia" w:ascii="宋体" w:hAnsi="宋体"/>
                <w:color w:val="000000"/>
                <w:szCs w:val="21"/>
              </w:rPr>
              <w:t>3）压缩空气站的布置，尚应符合本规范第5.2.4和第5.2.5条的规定。</w:t>
            </w:r>
          </w:p>
        </w:tc>
        <w:tc>
          <w:tcPr>
            <w:tcW w:w="2310" w:type="dxa"/>
            <w:noWrap/>
            <w:vAlign w:val="center"/>
          </w:tcPr>
          <w:p>
            <w:pPr>
              <w:adjustRightInd w:val="0"/>
              <w:snapToGrid w:val="0"/>
              <w:jc w:val="center"/>
              <w:rPr>
                <w:rFonts w:ascii="宋体" w:hAnsi="宋体"/>
                <w:color w:val="000000"/>
                <w:szCs w:val="21"/>
              </w:rPr>
            </w:pPr>
            <w:r>
              <w:rPr>
                <w:rFonts w:hint="eastAsia" w:ascii="宋体" w:hAnsi="宋体"/>
                <w:color w:val="000000"/>
                <w:szCs w:val="21"/>
              </w:rPr>
              <w:t>《工业企业总平面设计规范》</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（GB50187-2012）</w:t>
            </w:r>
          </w:p>
          <w:p>
            <w:pPr>
              <w:adjustRightInd w:val="0"/>
              <w:snapToGrid w:val="0"/>
              <w:jc w:val="center"/>
              <w:rPr>
                <w:rFonts w:ascii="宋体" w:hAnsi="宋体"/>
                <w:color w:val="000000"/>
                <w:szCs w:val="21"/>
              </w:rPr>
            </w:pPr>
            <w:r>
              <w:rPr>
                <w:rFonts w:hint="eastAsia" w:ascii="宋体" w:hAnsi="宋体"/>
                <w:color w:val="000000"/>
                <w:szCs w:val="21"/>
              </w:rPr>
              <w:t>第5.3.4条</w:t>
            </w:r>
          </w:p>
        </w:tc>
        <w:tc>
          <w:tcPr>
            <w:tcW w:w="2505" w:type="dxa"/>
            <w:noWrap/>
          </w:tcPr>
          <w:p>
            <w:pPr>
              <w:adjustRightInd w:val="0"/>
              <w:snapToGrid w:val="0"/>
              <w:rPr>
                <w:rFonts w:ascii="宋体" w:hAnsi="宋体"/>
                <w:color w:val="000000"/>
                <w:szCs w:val="21"/>
              </w:rPr>
            </w:pPr>
            <w:r>
              <w:rPr>
                <w:rFonts w:hint="eastAsia" w:ascii="宋体" w:hAnsi="宋体"/>
                <w:szCs w:val="21"/>
              </w:rPr>
              <w:t>本项目压缩空气站为新建，位于厂房南侧辅房位置，为丁类站房。压缩空气站的布置，符合本规范第5.2.4和第5.2.5条的规定。</w:t>
            </w:r>
          </w:p>
        </w:tc>
        <w:tc>
          <w:tcPr>
            <w:tcW w:w="760" w:type="dxa"/>
            <w:noWrap/>
            <w:vAlign w:val="center"/>
          </w:tcPr>
          <w:p>
            <w:pPr>
              <w:snapToGrid w:val="0"/>
              <w:jc w:val="center"/>
              <w:rPr>
                <w:rFonts w:ascii="宋体" w:hAnsi="宋体"/>
                <w:color w:val="000000"/>
                <w:szCs w:val="21"/>
              </w:rPr>
            </w:pPr>
            <w:r>
              <w:rPr>
                <w:rFonts w:hint="eastAsia" w:ascii="宋体" w:hAnsi="宋体"/>
                <w:color w:val="00000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循环水设施的布置，应位于所服务的生产设施附近，并应使回水具有自流条件，或能减少扬程的地段。沉淀池附近，应有相应的淤泥堆积、排水设施和运输线路的场地。</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第5.3.9条</w:t>
            </w:r>
          </w:p>
        </w:tc>
        <w:tc>
          <w:tcPr>
            <w:tcW w:w="2505" w:type="dxa"/>
            <w:noWrap/>
            <w:vAlign w:val="center"/>
          </w:tcPr>
          <w:p>
            <w:pPr>
              <w:adjustRightInd w:val="0"/>
              <w:snapToGrid w:val="0"/>
              <w:rPr>
                <w:rFonts w:ascii="宋体" w:hAnsi="宋体"/>
                <w:szCs w:val="21"/>
              </w:rPr>
            </w:pPr>
            <w:r>
              <w:rPr>
                <w:rFonts w:hint="eastAsia" w:ascii="宋体" w:hAnsi="宋体"/>
                <w:szCs w:val="21"/>
              </w:rPr>
              <w:t>涂装循环水系统、切削液集中处理系统、清洗机循环等属工艺设备自带成品，本项目无新增循环水系统。</w:t>
            </w:r>
          </w:p>
        </w:tc>
        <w:tc>
          <w:tcPr>
            <w:tcW w:w="760" w:type="dxa"/>
            <w:noWrap/>
            <w:vAlign w:val="center"/>
          </w:tcPr>
          <w:p>
            <w:pPr>
              <w:adjustRightInd w:val="0"/>
              <w:snapToGrid w:val="0"/>
              <w:jc w:val="center"/>
              <w:rPr>
                <w:rFonts w:ascii="宋体" w:hAnsi="宋体"/>
                <w:szCs w:val="21"/>
              </w:rPr>
            </w:pPr>
            <w:r>
              <w:rPr>
                <w:rFonts w:hint="eastAsia" w:ascii="宋体" w:hAnsi="宋体"/>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59"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仓库与堆场，应根据贮存物料的性质、货流出入方向、供应对象、贮存面积、运输方式等因素，按不同类别相对集中布置，并为运输、装卸、管理创造有利条件，且应符合国家现行的防火、防爆、安全、卫生等工程设计标准的有关规定。</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第5.6.1条</w:t>
            </w:r>
          </w:p>
        </w:tc>
        <w:tc>
          <w:tcPr>
            <w:tcW w:w="2505" w:type="dxa"/>
            <w:noWrap/>
            <w:vAlign w:val="center"/>
          </w:tcPr>
          <w:p>
            <w:pPr>
              <w:adjustRightInd w:val="0"/>
              <w:snapToGrid w:val="0"/>
              <w:rPr>
                <w:rFonts w:ascii="宋体" w:hAnsi="宋体"/>
                <w:szCs w:val="21"/>
              </w:rPr>
            </w:pPr>
            <w:r>
              <w:rPr>
                <w:rFonts w:hint="eastAsia" w:ascii="宋体" w:hAnsi="宋体"/>
                <w:szCs w:val="21"/>
              </w:rPr>
              <w:t>仓库与堆场按不同类别相对集中布置，满足运输、装卸和安全卫生要求。</w:t>
            </w:r>
          </w:p>
        </w:tc>
        <w:tc>
          <w:tcPr>
            <w:tcW w:w="760" w:type="dxa"/>
            <w:noWrap/>
            <w:vAlign w:val="center"/>
          </w:tcPr>
          <w:p>
            <w:pPr>
              <w:adjustRightInd w:val="0"/>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73"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厂区出入口的位置和数量，应根据企业的生产规模、总体规划、厂区用地面积及总平面布置等因素综合确定，并应符合下列规定：1.出入口的数量不宜少于</w:t>
            </w:r>
            <w:r>
              <w:rPr>
                <w:rFonts w:ascii="宋体" w:hAnsi="宋体"/>
                <w:szCs w:val="21"/>
              </w:rPr>
              <w:t xml:space="preserve">2 </w:t>
            </w:r>
            <w:r>
              <w:rPr>
                <w:rFonts w:hint="eastAsia" w:ascii="宋体" w:hAnsi="宋体"/>
                <w:szCs w:val="21"/>
              </w:rPr>
              <w:t>个；2.主要人流出入口宜与主要货流出入口分开设置，并应位于厂区主干道通往居住区或城镇的一侧；主要货流出入口应位于主要货流方向，应靠近运输繁忙的仓库、堆场，并应与外部运输线路连接方便；3.铁路出入口应具备良好的瞭望条件。</w:t>
            </w:r>
          </w:p>
        </w:tc>
        <w:tc>
          <w:tcPr>
            <w:tcW w:w="2310" w:type="dxa"/>
            <w:noWrap/>
            <w:vAlign w:val="center"/>
          </w:tcPr>
          <w:p>
            <w:pPr>
              <w:tabs>
                <w:tab w:val="left" w:pos="2898"/>
              </w:tabs>
              <w:snapToGrid w:val="0"/>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jc w:val="center"/>
              <w:rPr>
                <w:rFonts w:ascii="宋体" w:hAnsi="宋体" w:cs="宋体"/>
                <w:kern w:val="0"/>
                <w:szCs w:val="21"/>
              </w:rPr>
            </w:pPr>
            <w:r>
              <w:rPr>
                <w:rFonts w:hint="eastAsia" w:ascii="宋体" w:hAnsi="宋体" w:cs="宋体"/>
                <w:kern w:val="0"/>
                <w:szCs w:val="21"/>
              </w:rPr>
              <w:t>第5.7.4条</w:t>
            </w:r>
          </w:p>
        </w:tc>
        <w:tc>
          <w:tcPr>
            <w:tcW w:w="2505" w:type="dxa"/>
            <w:noWrap/>
            <w:vAlign w:val="center"/>
          </w:tcPr>
          <w:p>
            <w:pPr>
              <w:adjustRightInd w:val="0"/>
              <w:snapToGrid w:val="0"/>
              <w:rPr>
                <w:rFonts w:ascii="宋体" w:hAnsi="宋体"/>
                <w:szCs w:val="21"/>
              </w:rPr>
            </w:pPr>
            <w:r>
              <w:rPr>
                <w:rFonts w:hint="eastAsia" w:ascii="宋体" w:hAnsi="宋体"/>
                <w:szCs w:val="21"/>
              </w:rPr>
              <w:t>分别设有人流和货运出入口。</w:t>
            </w:r>
          </w:p>
        </w:tc>
        <w:tc>
          <w:tcPr>
            <w:tcW w:w="760" w:type="dxa"/>
            <w:noWrap/>
            <w:vAlign w:val="center"/>
          </w:tcPr>
          <w:p>
            <w:pPr>
              <w:adjustRightInd w:val="0"/>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529"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企业内道路的布置应符合下列规定：1.应满足生产、运输、安装、检修、消防安全和施工的要求；2.应有利于功能分区和街区的划分，并应与总平面布置相协调；3.道路的走向宜与区内主要建筑物、构筑物轴线平行或垂直，并应呈环行布置；4.应与竖向设计相协调，应有利于场地及道路的雨水排除；5.与厂外道路应连接方便、短捷；6.洁净厂房周围宜设置环形消防车道，环形消防车道可利用交通道路设置，有困难时，可沿厂房的两个长边设置消防车道；7.液化烃、可燃液体、可燃气体的储罐内，任何储罐中心与消防车道的距离应符合现行国家标准《石油化工企业设计防火规范》GB 50160的有关规定；8.施工道路应与永久性道路相结合。</w:t>
            </w:r>
          </w:p>
        </w:tc>
        <w:tc>
          <w:tcPr>
            <w:tcW w:w="2310" w:type="dxa"/>
            <w:noWrap/>
            <w:vAlign w:val="center"/>
          </w:tcPr>
          <w:p>
            <w:pPr>
              <w:tabs>
                <w:tab w:val="left" w:pos="2898"/>
              </w:tabs>
              <w:snapToGrid w:val="0"/>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jc w:val="center"/>
              <w:rPr>
                <w:rFonts w:ascii="宋体" w:hAnsi="宋体" w:cs="宋体"/>
                <w:kern w:val="0"/>
                <w:szCs w:val="21"/>
              </w:rPr>
            </w:pPr>
            <w:r>
              <w:rPr>
                <w:rFonts w:hint="eastAsia" w:ascii="宋体" w:hAnsi="宋体" w:cs="宋体"/>
                <w:kern w:val="0"/>
                <w:szCs w:val="21"/>
              </w:rPr>
              <w:t>第6.4.1条</w:t>
            </w:r>
          </w:p>
        </w:tc>
        <w:tc>
          <w:tcPr>
            <w:tcW w:w="2505" w:type="dxa"/>
            <w:noWrap/>
            <w:vAlign w:val="center"/>
          </w:tcPr>
          <w:p>
            <w:pPr>
              <w:adjustRightInd w:val="0"/>
              <w:snapToGrid w:val="0"/>
              <w:rPr>
                <w:rFonts w:ascii="宋体" w:hAnsi="宋体"/>
                <w:szCs w:val="21"/>
              </w:rPr>
            </w:pPr>
            <w:r>
              <w:rPr>
                <w:rFonts w:hint="eastAsia" w:ascii="宋体" w:hAnsi="宋体"/>
                <w:szCs w:val="21"/>
              </w:rPr>
              <w:t>厂内道路满足生产、运输、安装、检修、消防安全和施工的要求，与主要建筑物、构筑物轴线平行，并呈环行布置或设有回车场。</w:t>
            </w:r>
          </w:p>
        </w:tc>
        <w:tc>
          <w:tcPr>
            <w:tcW w:w="760" w:type="dxa"/>
            <w:noWrap/>
            <w:vAlign w:val="center"/>
          </w:tcPr>
          <w:p>
            <w:pPr>
              <w:adjustRightInd w:val="0"/>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76"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消防车道的布置应符合下列规定：1.道路宜呈环状布置；2.车道宽度不应小于</w:t>
            </w:r>
            <w:r>
              <w:rPr>
                <w:rFonts w:ascii="宋体" w:hAnsi="宋体"/>
                <w:szCs w:val="21"/>
              </w:rPr>
              <w:t>4.0m</w:t>
            </w:r>
            <w:r>
              <w:rPr>
                <w:rFonts w:hint="eastAsia" w:ascii="宋体" w:hAnsi="宋体"/>
                <w:szCs w:val="21"/>
              </w:rPr>
              <w:t>；3.应避免与铁路平交。必须平交时，应设备用车道，且两车道之间的距离，不应小于进入厂内最长列车的长度。</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《工业企业总平面设计规范》</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（GB50187-2012）</w:t>
            </w:r>
          </w:p>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第6.4.11条</w:t>
            </w:r>
          </w:p>
        </w:tc>
        <w:tc>
          <w:tcPr>
            <w:tcW w:w="2505" w:type="dxa"/>
            <w:noWrap/>
            <w:vAlign w:val="center"/>
          </w:tcPr>
          <w:p>
            <w:pPr>
              <w:adjustRightInd w:val="0"/>
              <w:snapToGrid w:val="0"/>
              <w:rPr>
                <w:rFonts w:ascii="宋体" w:hAnsi="宋体"/>
                <w:szCs w:val="21"/>
              </w:rPr>
            </w:pPr>
            <w:r>
              <w:rPr>
                <w:rFonts w:hint="eastAsia" w:ascii="宋体" w:hAnsi="宋体"/>
                <w:szCs w:val="21"/>
              </w:rPr>
              <w:t>厂区道路呈环形布置，主要道路路面宽6.0m，次要道路路面宽4.0m。</w:t>
            </w:r>
          </w:p>
        </w:tc>
        <w:tc>
          <w:tcPr>
            <w:tcW w:w="760" w:type="dxa"/>
            <w:noWrap/>
            <w:vAlign w:val="center"/>
          </w:tcPr>
          <w:p>
            <w:pPr>
              <w:adjustRightInd w:val="0"/>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6"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snapToGrid w:val="0"/>
              <w:rPr>
                <w:rFonts w:ascii="宋体" w:hAnsi="宋体"/>
                <w:szCs w:val="21"/>
              </w:rPr>
            </w:pPr>
            <w:r>
              <w:rPr>
                <w:rFonts w:hint="eastAsia" w:ascii="宋体" w:hAnsi="宋体" w:cs="宋体"/>
                <w:szCs w:val="21"/>
              </w:rPr>
              <w:t>生产厂房、仓库和各种构筑物的结构强度、耐火等级、抗震设防烈度、通风、采光、照明等，均应按其使用特点和地区环境条件符合有关标准规定，应有抗震、防水、防漏、防风、防雷等措施。</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《生产过程安全卫生要求总则》</w:t>
            </w:r>
          </w:p>
          <w:p>
            <w:pPr>
              <w:tabs>
                <w:tab w:val="left" w:pos="2898"/>
              </w:tabs>
              <w:snapToGrid w:val="0"/>
              <w:spacing w:line="300" w:lineRule="exact"/>
              <w:jc w:val="center"/>
              <w:rPr>
                <w:rFonts w:ascii="宋体" w:hAnsi="宋体" w:cs="宋体"/>
                <w:szCs w:val="21"/>
              </w:rPr>
            </w:pPr>
            <w:r>
              <w:rPr>
                <w:rFonts w:hint="eastAsia" w:ascii="宋体" w:hAnsi="宋体" w:cs="宋体"/>
                <w:kern w:val="0"/>
                <w:szCs w:val="21"/>
              </w:rPr>
              <w:t>（GB/T12801-2008）第5.4.1条</w:t>
            </w:r>
          </w:p>
        </w:tc>
        <w:tc>
          <w:tcPr>
            <w:tcW w:w="2505" w:type="dxa"/>
            <w:noWrap/>
            <w:vAlign w:val="center"/>
          </w:tcPr>
          <w:p>
            <w:pPr>
              <w:snapToGrid w:val="0"/>
              <w:rPr>
                <w:rFonts w:ascii="宋体" w:hAnsi="宋体"/>
                <w:szCs w:val="21"/>
              </w:rPr>
            </w:pPr>
            <w:r>
              <w:rPr>
                <w:rFonts w:hint="eastAsia" w:ascii="宋体" w:hAnsi="宋体" w:cs="宋体"/>
                <w:snapToGrid w:val="0"/>
                <w:kern w:val="0"/>
                <w:szCs w:val="21"/>
              </w:rPr>
              <w:t>第三联合厂房耐火等级为二级。</w:t>
            </w:r>
          </w:p>
        </w:tc>
        <w:tc>
          <w:tcPr>
            <w:tcW w:w="760" w:type="dxa"/>
            <w:noWrap/>
            <w:vAlign w:val="center"/>
          </w:tcPr>
          <w:p>
            <w:pPr>
              <w:snapToGrid w:val="0"/>
              <w:jc w:val="center"/>
              <w:rPr>
                <w:rFonts w:ascii="宋体" w:hAnsi="宋体"/>
                <w:szCs w:val="21"/>
              </w:rPr>
            </w:pPr>
            <w:r>
              <w:rPr>
                <w:rFonts w:hint="eastAsia" w:ascii="宋体" w:hAnsi="宋体" w:cs="宋体"/>
                <w:snapToGrid w:val="0"/>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snapToGrid w:val="0"/>
              <w:rPr>
                <w:rFonts w:ascii="宋体" w:hAnsi="宋体"/>
                <w:szCs w:val="21"/>
              </w:rPr>
            </w:pPr>
            <w:r>
              <w:rPr>
                <w:rFonts w:hint="eastAsia" w:ascii="宋体" w:hAnsi="宋体" w:cs="宋体"/>
                <w:szCs w:val="21"/>
              </w:rPr>
              <w:t>建(构)筑物的通风换气条件，应保证作业环境空气中的危险和有害物质浓度不超过国家卫生标准和防爆规定。</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《生产过程安全卫生要求总则》</w:t>
            </w:r>
          </w:p>
          <w:p>
            <w:pPr>
              <w:snapToGrid w:val="0"/>
              <w:jc w:val="center"/>
              <w:rPr>
                <w:rFonts w:ascii="宋体" w:hAnsi="宋体" w:cs="宋体"/>
                <w:szCs w:val="21"/>
              </w:rPr>
            </w:pPr>
            <w:r>
              <w:rPr>
                <w:rFonts w:hint="eastAsia" w:ascii="宋体" w:hAnsi="宋体" w:cs="宋体"/>
                <w:kern w:val="0"/>
                <w:szCs w:val="21"/>
              </w:rPr>
              <w:t>（GB/T12801-2008）</w:t>
            </w:r>
            <w:r>
              <w:rPr>
                <w:rFonts w:hint="eastAsia" w:ascii="宋体" w:hAnsi="宋体" w:cs="宋体"/>
                <w:szCs w:val="21"/>
              </w:rPr>
              <w:t>第5.4.2条</w:t>
            </w:r>
          </w:p>
        </w:tc>
        <w:tc>
          <w:tcPr>
            <w:tcW w:w="2505" w:type="dxa"/>
            <w:noWrap/>
            <w:vAlign w:val="center"/>
          </w:tcPr>
          <w:p>
            <w:pPr>
              <w:snapToGrid w:val="0"/>
              <w:rPr>
                <w:rFonts w:ascii="宋体" w:hAnsi="宋体"/>
                <w:szCs w:val="21"/>
              </w:rPr>
            </w:pPr>
            <w:r>
              <w:rPr>
                <w:rFonts w:hint="eastAsia" w:ascii="宋体" w:hAnsi="宋体" w:cs="宋体"/>
                <w:snapToGrid w:val="0"/>
                <w:kern w:val="0"/>
                <w:szCs w:val="21"/>
              </w:rPr>
              <w:t>自然通风，通风换气条件较好。</w:t>
            </w:r>
          </w:p>
        </w:tc>
        <w:tc>
          <w:tcPr>
            <w:tcW w:w="760" w:type="dxa"/>
            <w:noWrap/>
            <w:vAlign w:val="center"/>
          </w:tcPr>
          <w:p>
            <w:pPr>
              <w:snapToGrid w:val="0"/>
              <w:jc w:val="center"/>
              <w:rPr>
                <w:rFonts w:ascii="宋体" w:hAnsi="宋体"/>
                <w:szCs w:val="21"/>
              </w:rPr>
            </w:pPr>
            <w:r>
              <w:rPr>
                <w:rFonts w:hint="eastAsia" w:ascii="宋体" w:hAnsi="宋体" w:cs="宋体"/>
                <w:snapToGrid w:val="0"/>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59"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snapToGrid w:val="0"/>
              <w:rPr>
                <w:rFonts w:ascii="宋体" w:hAnsi="宋体"/>
                <w:szCs w:val="21"/>
              </w:rPr>
            </w:pPr>
            <w:r>
              <w:rPr>
                <w:rFonts w:hint="eastAsia" w:ascii="宋体" w:hAnsi="宋体" w:cs="宋体"/>
                <w:szCs w:val="21"/>
              </w:rPr>
              <w:t>危险性作业场所，应设置安全通道；应设应急照明、安全标志及疏散指示标志；门窗应向外开启；出入口的设置应符合有关规定。</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《生产过程安全卫生要求总则》</w:t>
            </w:r>
          </w:p>
          <w:p>
            <w:pPr>
              <w:snapToGrid w:val="0"/>
              <w:jc w:val="center"/>
              <w:rPr>
                <w:rFonts w:ascii="宋体" w:hAnsi="宋体" w:cs="宋体"/>
                <w:szCs w:val="21"/>
              </w:rPr>
            </w:pPr>
            <w:r>
              <w:rPr>
                <w:rFonts w:hint="eastAsia" w:ascii="宋体" w:hAnsi="宋体" w:cs="宋体"/>
                <w:kern w:val="0"/>
                <w:szCs w:val="21"/>
              </w:rPr>
              <w:t>（GB/T12801-2008）</w:t>
            </w:r>
            <w:r>
              <w:rPr>
                <w:rFonts w:hint="eastAsia" w:ascii="宋体" w:hAnsi="宋体" w:cs="宋体"/>
                <w:szCs w:val="21"/>
              </w:rPr>
              <w:t>第5.4.6条</w:t>
            </w:r>
          </w:p>
        </w:tc>
        <w:tc>
          <w:tcPr>
            <w:tcW w:w="2505" w:type="dxa"/>
            <w:noWrap/>
            <w:vAlign w:val="center"/>
          </w:tcPr>
          <w:p>
            <w:pPr>
              <w:snapToGrid w:val="0"/>
              <w:rPr>
                <w:rFonts w:ascii="宋体" w:hAnsi="宋体" w:cs="宋体"/>
                <w:snapToGrid w:val="0"/>
                <w:kern w:val="0"/>
                <w:szCs w:val="21"/>
              </w:rPr>
            </w:pPr>
            <w:r>
              <w:rPr>
                <w:rFonts w:hint="eastAsia" w:ascii="宋体" w:hAnsi="宋体" w:cs="宋体"/>
                <w:snapToGrid w:val="0"/>
                <w:kern w:val="0"/>
                <w:szCs w:val="21"/>
              </w:rPr>
              <w:t>危险性作业场所均设有两个安全出口，并保持通畅。</w:t>
            </w:r>
          </w:p>
        </w:tc>
        <w:tc>
          <w:tcPr>
            <w:tcW w:w="760" w:type="dxa"/>
            <w:noWrap/>
            <w:vAlign w:val="center"/>
          </w:tcPr>
          <w:p>
            <w:pPr>
              <w:snapToGrid w:val="0"/>
              <w:jc w:val="center"/>
              <w:rPr>
                <w:rFonts w:ascii="宋体" w:hAnsi="宋体"/>
                <w:szCs w:val="21"/>
              </w:rPr>
            </w:pPr>
            <w:r>
              <w:rPr>
                <w:rFonts w:hint="eastAsia" w:ascii="宋体" w:hAnsi="宋体" w:cs="宋体"/>
                <w:snapToGrid w:val="0"/>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90"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utoSpaceDE w:val="0"/>
              <w:autoSpaceDN w:val="0"/>
              <w:adjustRightInd w:val="0"/>
              <w:snapToGrid w:val="0"/>
              <w:spacing w:line="340" w:lineRule="atLeast"/>
              <w:rPr>
                <w:rFonts w:cs="宋体"/>
                <w:szCs w:val="21"/>
              </w:rPr>
            </w:pPr>
            <w:r>
              <w:rPr>
                <w:rFonts w:hint="eastAsia" w:cs="宋体"/>
                <w:szCs w:val="21"/>
              </w:rPr>
              <w:t>根据建(构)筑物的防雷类别，按有关规定设置防雷电设施，并定期检测。</w:t>
            </w:r>
          </w:p>
        </w:tc>
        <w:tc>
          <w:tcPr>
            <w:tcW w:w="2310" w:type="dxa"/>
            <w:noWrap/>
            <w:vAlign w:val="center"/>
          </w:tcPr>
          <w:p>
            <w:pPr>
              <w:tabs>
                <w:tab w:val="left" w:pos="2898"/>
              </w:tabs>
              <w:snapToGrid w:val="0"/>
              <w:spacing w:line="300" w:lineRule="exact"/>
              <w:jc w:val="center"/>
              <w:rPr>
                <w:rFonts w:ascii="宋体" w:hAnsi="宋体" w:cs="宋体"/>
                <w:kern w:val="0"/>
                <w:szCs w:val="21"/>
              </w:rPr>
            </w:pPr>
            <w:r>
              <w:rPr>
                <w:rFonts w:hint="eastAsia" w:ascii="宋体" w:hAnsi="宋体" w:cs="宋体"/>
                <w:kern w:val="0"/>
                <w:szCs w:val="21"/>
              </w:rPr>
              <w:t>《生产过程安全卫生要求总则》</w:t>
            </w:r>
          </w:p>
          <w:p>
            <w:pPr>
              <w:autoSpaceDE w:val="0"/>
              <w:autoSpaceDN w:val="0"/>
              <w:adjustRightInd w:val="0"/>
              <w:snapToGrid w:val="0"/>
              <w:spacing w:line="340" w:lineRule="atLeast"/>
              <w:jc w:val="center"/>
              <w:rPr>
                <w:rFonts w:ascii="宋体" w:hAnsi="宋体" w:cs="宋体"/>
                <w:szCs w:val="21"/>
              </w:rPr>
            </w:pPr>
            <w:r>
              <w:rPr>
                <w:rFonts w:hint="eastAsia" w:ascii="宋体" w:hAnsi="宋体" w:cs="宋体"/>
                <w:kern w:val="0"/>
                <w:szCs w:val="21"/>
              </w:rPr>
              <w:t>（GB/T12801-2008）</w:t>
            </w:r>
            <w:r>
              <w:rPr>
                <w:rFonts w:hint="eastAsia" w:ascii="宋体" w:hAnsi="宋体" w:cs="宋体"/>
                <w:szCs w:val="21"/>
              </w:rPr>
              <w:t>第5.4.7条</w:t>
            </w:r>
          </w:p>
        </w:tc>
        <w:tc>
          <w:tcPr>
            <w:tcW w:w="2505" w:type="dxa"/>
            <w:noWrap/>
            <w:vAlign w:val="center"/>
          </w:tcPr>
          <w:p>
            <w:pPr>
              <w:autoSpaceDE w:val="0"/>
              <w:autoSpaceDN w:val="0"/>
              <w:adjustRightInd w:val="0"/>
              <w:snapToGrid w:val="0"/>
              <w:spacing w:line="340" w:lineRule="atLeast"/>
              <w:rPr>
                <w:rFonts w:cs="宋体"/>
                <w:szCs w:val="21"/>
              </w:rPr>
            </w:pPr>
            <w:r>
              <w:rPr>
                <w:rFonts w:hint="eastAsia" w:cs="宋体"/>
                <w:color w:val="000000" w:themeColor="text1"/>
                <w:szCs w:val="21"/>
                <w14:textFill>
                  <w14:solidFill>
                    <w14:schemeClr w14:val="tx1"/>
                  </w14:solidFill>
                </w14:textFill>
              </w:rPr>
              <w:t>建筑防雷设施于202</w:t>
            </w:r>
            <w:r>
              <w:rPr>
                <w:rFonts w:hint="eastAsia" w:cs="宋体"/>
                <w:color w:val="000000" w:themeColor="text1"/>
                <w:szCs w:val="21"/>
                <w:lang w:val="en-US" w:eastAsia="zh-CN"/>
                <w14:textFill>
                  <w14:solidFill>
                    <w14:schemeClr w14:val="tx1"/>
                  </w14:solidFill>
                </w14:textFill>
              </w:rPr>
              <w:t>3</w:t>
            </w:r>
            <w:r>
              <w:rPr>
                <w:rFonts w:hint="eastAsia" w:cs="宋体"/>
                <w:color w:val="000000" w:themeColor="text1"/>
                <w:szCs w:val="21"/>
                <w14:textFill>
                  <w14:solidFill>
                    <w14:schemeClr w14:val="tx1"/>
                  </w14:solidFill>
                </w14:textFill>
              </w:rPr>
              <w:t>年6月2</w:t>
            </w:r>
            <w:r>
              <w:rPr>
                <w:rFonts w:hint="eastAsia" w:cs="宋体"/>
                <w:color w:val="000000" w:themeColor="text1"/>
                <w:szCs w:val="21"/>
                <w:lang w:val="en-US" w:eastAsia="zh-CN"/>
                <w14:textFill>
                  <w14:solidFill>
                    <w14:schemeClr w14:val="tx1"/>
                  </w14:solidFill>
                </w14:textFill>
              </w:rPr>
              <w:t>3</w:t>
            </w:r>
            <w:r>
              <w:rPr>
                <w:rFonts w:hint="eastAsia" w:cs="宋体"/>
                <w:color w:val="000000" w:themeColor="text1"/>
                <w:szCs w:val="21"/>
                <w14:textFill>
                  <w14:solidFill>
                    <w14:schemeClr w14:val="tx1"/>
                  </w14:solidFill>
                </w14:textFill>
              </w:rPr>
              <w:t>日由吉林省宇泰安全技术服务有限公司检测合格，并出具《防雷（静电）装置检测报告》。</w:t>
            </w:r>
          </w:p>
        </w:tc>
        <w:tc>
          <w:tcPr>
            <w:tcW w:w="760" w:type="dxa"/>
            <w:noWrap/>
            <w:vAlign w:val="center"/>
          </w:tcPr>
          <w:p>
            <w:pPr>
              <w:snapToGrid w:val="0"/>
              <w:jc w:val="center"/>
              <w:rPr>
                <w:rFonts w:ascii="宋体" w:hAnsi="宋体"/>
                <w:szCs w:val="21"/>
              </w:rPr>
            </w:pPr>
            <w:r>
              <w:rPr>
                <w:rFonts w:hint="eastAsia" w:ascii="宋体" w:hAnsi="宋体" w:cs="宋体"/>
                <w:snapToGrid w:val="0"/>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25"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utoSpaceDE w:val="0"/>
              <w:autoSpaceDN w:val="0"/>
              <w:adjustRightInd w:val="0"/>
              <w:snapToGrid w:val="0"/>
              <w:spacing w:line="340" w:lineRule="atLeast"/>
              <w:rPr>
                <w:rFonts w:cs="宋体"/>
                <w:szCs w:val="21"/>
              </w:rPr>
            </w:pPr>
            <w:r>
              <w:rPr>
                <w:rFonts w:hint="eastAsia" w:cs="宋体"/>
                <w:szCs w:val="21"/>
              </w:rPr>
              <w:t>工业企业厂区总平面布置应明确功能分区，可分为生厂区、非生产区、辅助生产区。其工程用地应根据卫生要求，结合工业企业性质、规模、生产流程、交通运输、场地自然条件、技术经济条件等合理布局。</w:t>
            </w:r>
          </w:p>
        </w:tc>
        <w:tc>
          <w:tcPr>
            <w:tcW w:w="2310" w:type="dxa"/>
            <w:noWrap/>
            <w:vAlign w:val="center"/>
          </w:tcPr>
          <w:p>
            <w:pPr>
              <w:autoSpaceDE w:val="0"/>
              <w:autoSpaceDN w:val="0"/>
              <w:adjustRightInd w:val="0"/>
              <w:snapToGrid w:val="0"/>
              <w:spacing w:line="340" w:lineRule="atLeast"/>
              <w:jc w:val="center"/>
              <w:rPr>
                <w:rFonts w:cs="宋体"/>
                <w:szCs w:val="21"/>
              </w:rPr>
            </w:pPr>
            <w:r>
              <w:rPr>
                <w:rFonts w:hint="eastAsia" w:cs="宋体"/>
                <w:szCs w:val="21"/>
              </w:rPr>
              <w:t>《工业企业设计卫生标准》（GBZ1-2010）第5.2.1.1条</w:t>
            </w:r>
          </w:p>
        </w:tc>
        <w:tc>
          <w:tcPr>
            <w:tcW w:w="2505" w:type="dxa"/>
            <w:noWrap/>
            <w:vAlign w:val="center"/>
          </w:tcPr>
          <w:p>
            <w:pPr>
              <w:autoSpaceDE w:val="0"/>
              <w:autoSpaceDN w:val="0"/>
              <w:adjustRightInd w:val="0"/>
              <w:snapToGrid w:val="0"/>
              <w:spacing w:line="340" w:lineRule="atLeast"/>
              <w:rPr>
                <w:rFonts w:cs="宋体"/>
                <w:szCs w:val="21"/>
              </w:rPr>
            </w:pPr>
            <w:r>
              <w:rPr>
                <w:rFonts w:hint="eastAsia" w:cs="宋体"/>
                <w:szCs w:val="21"/>
              </w:rPr>
              <w:t>项目厂区按功能分区，办公区与生产区分开布置，车间内无非生产用房。</w:t>
            </w:r>
          </w:p>
        </w:tc>
        <w:tc>
          <w:tcPr>
            <w:tcW w:w="760" w:type="dxa"/>
            <w:noWrap/>
            <w:vAlign w:val="center"/>
          </w:tcPr>
          <w:p>
            <w:pPr>
              <w:autoSpaceDE w:val="0"/>
              <w:autoSpaceDN w:val="0"/>
              <w:adjustRightInd w:val="0"/>
              <w:snapToGrid w:val="0"/>
              <w:spacing w:line="340" w:lineRule="atLeast"/>
              <w:jc w:val="center"/>
              <w:rPr>
                <w:rFonts w:ascii="宋体" w:hAnsi="宋体" w:cs="宋体"/>
                <w:snapToGrid w:val="0"/>
                <w:kern w:val="0"/>
                <w:szCs w:val="21"/>
              </w:rPr>
            </w:pPr>
            <w:r>
              <w:rPr>
                <w:rFonts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00" w:hRule="atLeast"/>
          <w:jc w:val="center"/>
        </w:trPr>
        <w:tc>
          <w:tcPr>
            <w:tcW w:w="535" w:type="dxa"/>
            <w:noWrap/>
            <w:tcMar>
              <w:left w:w="28" w:type="dxa"/>
              <w:right w:w="28" w:type="dxa"/>
            </w:tcMar>
            <w:vAlign w:val="center"/>
          </w:tcPr>
          <w:p>
            <w:pPr>
              <w:numPr>
                <w:ilvl w:val="0"/>
                <w:numId w:val="13"/>
              </w:numPr>
              <w:snapToGrid w:val="0"/>
              <w:jc w:val="left"/>
              <w:rPr>
                <w:rFonts w:ascii="宋体" w:hAnsi="宋体" w:cs="宋体"/>
                <w:szCs w:val="21"/>
              </w:rPr>
            </w:pPr>
          </w:p>
        </w:tc>
        <w:tc>
          <w:tcPr>
            <w:tcW w:w="3749" w:type="dxa"/>
            <w:noWrap/>
            <w:vAlign w:val="center"/>
          </w:tcPr>
          <w:p>
            <w:pPr>
              <w:autoSpaceDE w:val="0"/>
              <w:autoSpaceDN w:val="0"/>
              <w:adjustRightInd w:val="0"/>
              <w:snapToGrid w:val="0"/>
              <w:spacing w:line="340" w:lineRule="atLeast"/>
              <w:rPr>
                <w:rFonts w:ascii="宋体" w:hAnsi="宋体" w:cs="宋体"/>
                <w:szCs w:val="21"/>
              </w:rPr>
            </w:pPr>
            <w:r>
              <w:rPr>
                <w:rFonts w:hint="eastAsia" w:cs="宋体"/>
                <w:szCs w:val="21"/>
              </w:rPr>
              <w:t>生产区宜选在大气污染物扩散条件好的地段，布置在当地全年最小频率风向的上风侧；产生并散发化学和生物等有害物质的车间，宜位于相邻车间当地全年最小频率风向的上风侧；非生产区不在在当地全年最小频率风向的下风侧；辅助生产区布置在两者之间</w:t>
            </w:r>
            <w:r>
              <w:rPr>
                <w:rFonts w:cs="宋体"/>
                <w:szCs w:val="21"/>
              </w:rPr>
              <w:t>。</w:t>
            </w:r>
          </w:p>
        </w:tc>
        <w:tc>
          <w:tcPr>
            <w:tcW w:w="2310" w:type="dxa"/>
            <w:noWrap/>
            <w:vAlign w:val="center"/>
          </w:tcPr>
          <w:p>
            <w:pPr>
              <w:autoSpaceDE w:val="0"/>
              <w:autoSpaceDN w:val="0"/>
              <w:adjustRightInd w:val="0"/>
              <w:snapToGrid w:val="0"/>
              <w:spacing w:line="340" w:lineRule="atLeast"/>
              <w:jc w:val="center"/>
              <w:rPr>
                <w:rFonts w:ascii="宋体" w:hAnsi="宋体" w:cs="宋体"/>
                <w:szCs w:val="21"/>
              </w:rPr>
            </w:pPr>
            <w:r>
              <w:rPr>
                <w:rFonts w:hint="eastAsia" w:ascii="宋体" w:hAnsi="宋体" w:cs="宋体"/>
                <w:szCs w:val="21"/>
              </w:rPr>
              <w:t>《工业企业设计卫生标准》（GBZ1-2010）第5.2.1.4条</w:t>
            </w:r>
          </w:p>
        </w:tc>
        <w:tc>
          <w:tcPr>
            <w:tcW w:w="2505" w:type="dxa"/>
            <w:noWrap/>
            <w:vAlign w:val="center"/>
          </w:tcPr>
          <w:p>
            <w:pPr>
              <w:autoSpaceDE w:val="0"/>
              <w:autoSpaceDN w:val="0"/>
              <w:adjustRightInd w:val="0"/>
              <w:snapToGrid w:val="0"/>
              <w:spacing w:line="340" w:lineRule="atLeast"/>
              <w:rPr>
                <w:rFonts w:ascii="宋体" w:hAnsi="宋体" w:cs="宋体"/>
                <w:snapToGrid w:val="0"/>
                <w:kern w:val="0"/>
                <w:szCs w:val="21"/>
              </w:rPr>
            </w:pPr>
            <w:r>
              <w:rPr>
                <w:rFonts w:hint="eastAsia" w:ascii="宋体" w:hAnsi="宋体" w:cs="宋体"/>
                <w:szCs w:val="21"/>
              </w:rPr>
              <w:t>厂区地势开阔，通风良好。</w:t>
            </w:r>
          </w:p>
        </w:tc>
        <w:tc>
          <w:tcPr>
            <w:tcW w:w="760" w:type="dxa"/>
            <w:noWrap/>
            <w:vAlign w:val="center"/>
          </w:tcPr>
          <w:p>
            <w:pPr>
              <w:autoSpaceDE w:val="0"/>
              <w:autoSpaceDN w:val="0"/>
              <w:adjustRightInd w:val="0"/>
              <w:snapToGrid w:val="0"/>
              <w:spacing w:line="340" w:lineRule="atLeast"/>
              <w:jc w:val="center"/>
              <w:rPr>
                <w:rFonts w:ascii="宋体" w:hAnsi="宋体" w:cs="宋体"/>
                <w:snapToGrid w:val="0"/>
                <w:kern w:val="0"/>
                <w:szCs w:val="21"/>
              </w:rPr>
            </w:pPr>
            <w:r>
              <w:rPr>
                <w:rFonts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625"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utoSpaceDE w:val="0"/>
              <w:autoSpaceDN w:val="0"/>
              <w:adjustRightInd w:val="0"/>
              <w:snapToGrid w:val="0"/>
              <w:spacing w:line="340" w:lineRule="atLeast"/>
              <w:rPr>
                <w:rFonts w:ascii="宋体" w:hAnsi="宋体" w:cs="宋体"/>
                <w:szCs w:val="21"/>
              </w:rPr>
            </w:pPr>
            <w:r>
              <w:rPr>
                <w:rFonts w:hint="eastAsia" w:cs="宋体"/>
                <w:szCs w:val="21"/>
              </w:rPr>
              <w:t>噪声与振动较大的生产设备宜安装在单层厂房内，当设计需要将这些生产设备安置在多层厂内内时，宜将其安装在底层，并采取有效的隔声和减振措施</w:t>
            </w:r>
            <w:r>
              <w:rPr>
                <w:rFonts w:cs="宋体"/>
                <w:szCs w:val="21"/>
              </w:rPr>
              <w:t>。</w:t>
            </w:r>
          </w:p>
        </w:tc>
        <w:tc>
          <w:tcPr>
            <w:tcW w:w="2310" w:type="dxa"/>
            <w:noWrap/>
            <w:vAlign w:val="center"/>
          </w:tcPr>
          <w:p>
            <w:pPr>
              <w:autoSpaceDE w:val="0"/>
              <w:autoSpaceDN w:val="0"/>
              <w:adjustRightInd w:val="0"/>
              <w:snapToGrid w:val="0"/>
              <w:spacing w:line="340" w:lineRule="atLeast"/>
              <w:jc w:val="center"/>
              <w:rPr>
                <w:rFonts w:ascii="宋体" w:hAnsi="宋体" w:cs="宋体"/>
                <w:szCs w:val="21"/>
              </w:rPr>
            </w:pPr>
            <w:r>
              <w:rPr>
                <w:rFonts w:hint="eastAsia" w:ascii="宋体" w:hAnsi="宋体" w:cs="宋体"/>
                <w:szCs w:val="21"/>
              </w:rPr>
              <w:t>《工业企业设计卫生标准》（GBZ1-2010）第5.2.2.2条</w:t>
            </w:r>
          </w:p>
        </w:tc>
        <w:tc>
          <w:tcPr>
            <w:tcW w:w="2505" w:type="dxa"/>
            <w:noWrap/>
            <w:vAlign w:val="center"/>
          </w:tcPr>
          <w:p>
            <w:pPr>
              <w:tabs>
                <w:tab w:val="left" w:pos="6195"/>
              </w:tabs>
              <w:autoSpaceDE w:val="0"/>
              <w:autoSpaceDN w:val="0"/>
              <w:adjustRightInd w:val="0"/>
              <w:snapToGrid w:val="0"/>
              <w:spacing w:line="340" w:lineRule="atLeast"/>
              <w:rPr>
                <w:rFonts w:ascii="宋体" w:hAnsi="宋体" w:cs="宋体"/>
                <w:snapToGrid w:val="0"/>
                <w:kern w:val="0"/>
                <w:szCs w:val="21"/>
              </w:rPr>
            </w:pPr>
            <w:r>
              <w:rPr>
                <w:rFonts w:hint="eastAsia" w:cs="宋体"/>
                <w:szCs w:val="21"/>
              </w:rPr>
              <w:t>厂房为单层建筑。</w:t>
            </w:r>
          </w:p>
        </w:tc>
        <w:tc>
          <w:tcPr>
            <w:tcW w:w="760" w:type="dxa"/>
            <w:noWrap/>
            <w:vAlign w:val="center"/>
          </w:tcPr>
          <w:p>
            <w:pPr>
              <w:autoSpaceDE w:val="0"/>
              <w:autoSpaceDN w:val="0"/>
              <w:adjustRightInd w:val="0"/>
              <w:snapToGrid w:val="0"/>
              <w:spacing w:line="340" w:lineRule="atLeast"/>
              <w:jc w:val="center"/>
              <w:rPr>
                <w:rFonts w:ascii="宋体" w:hAnsi="宋体" w:cs="宋体"/>
                <w:snapToGrid w:val="0"/>
                <w:kern w:val="0"/>
                <w:szCs w:val="21"/>
              </w:rPr>
            </w:pPr>
            <w:r>
              <w:rPr>
                <w:rFonts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05"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tcPr>
          <w:p>
            <w:pPr>
              <w:snapToGrid w:val="0"/>
              <w:rPr>
                <w:rFonts w:ascii="宋体" w:hAnsi="宋体"/>
                <w:color w:val="000000"/>
                <w:szCs w:val="21"/>
              </w:rPr>
            </w:pPr>
            <w:r>
              <w:rPr>
                <w:rFonts w:hint="eastAsia" w:ascii="宋体" w:hAnsi="宋体"/>
                <w:color w:val="000000"/>
                <w:szCs w:val="21"/>
              </w:rPr>
              <w:t xml:space="preserve">场地应有完整、有效的雨水排水系统。场地雨水的排除方式，应结合工业企业所在地区的雨水排除方式、建筑密度、环境卫生要求、地质和气候条件等因素，合理选择暗管、明沟或地面自然排渗等方式，并应符合下列要求： </w:t>
            </w:r>
          </w:p>
          <w:p>
            <w:pPr>
              <w:snapToGrid w:val="0"/>
              <w:rPr>
                <w:rFonts w:ascii="宋体" w:hAnsi="宋体"/>
                <w:color w:val="000000"/>
                <w:szCs w:val="21"/>
              </w:rPr>
            </w:pPr>
            <w:r>
              <w:rPr>
                <w:rFonts w:hint="eastAsia" w:ascii="宋体" w:hAnsi="宋体"/>
                <w:color w:val="000000"/>
                <w:szCs w:val="21"/>
              </w:rPr>
              <w:t>1.厂区雨水排水管、沟应与厂外排雨水系统相衔接，场地雨水不得任意排至厂外；</w:t>
            </w:r>
          </w:p>
          <w:p>
            <w:pPr>
              <w:snapToGrid w:val="0"/>
              <w:rPr>
                <w:rFonts w:ascii="宋体" w:hAnsi="宋体"/>
                <w:color w:val="000000"/>
                <w:szCs w:val="21"/>
              </w:rPr>
            </w:pPr>
            <w:r>
              <w:rPr>
                <w:rFonts w:hint="eastAsia" w:ascii="宋体" w:hAnsi="宋体"/>
                <w:color w:val="000000"/>
                <w:szCs w:val="21"/>
              </w:rPr>
              <w:t xml:space="preserve">2.有条件的工业企业应建立雨水收集系统，应对收集的雨水充分利用； </w:t>
            </w:r>
          </w:p>
          <w:p>
            <w:pPr>
              <w:snapToGrid w:val="0"/>
              <w:rPr>
                <w:rFonts w:ascii="宋体" w:hAnsi="宋体"/>
                <w:color w:val="000000"/>
                <w:szCs w:val="21"/>
              </w:rPr>
            </w:pPr>
            <w:r>
              <w:rPr>
                <w:rFonts w:hint="eastAsia" w:ascii="宋体" w:hAnsi="宋体"/>
                <w:color w:val="000000"/>
                <w:szCs w:val="21"/>
              </w:rPr>
              <w:t xml:space="preserve">3.厂区雨水宜采用暗管排水。 </w:t>
            </w:r>
          </w:p>
        </w:tc>
        <w:tc>
          <w:tcPr>
            <w:tcW w:w="2310" w:type="dxa"/>
            <w:noWrap/>
            <w:vAlign w:val="center"/>
          </w:tcPr>
          <w:p>
            <w:pPr>
              <w:snapToGrid w:val="0"/>
              <w:jc w:val="center"/>
              <w:rPr>
                <w:rFonts w:hint="eastAsia" w:ascii="宋体" w:hAnsi="宋体" w:eastAsia="宋体"/>
                <w:color w:val="000000"/>
                <w:szCs w:val="21"/>
                <w:lang w:eastAsia="zh-CN"/>
              </w:rPr>
            </w:pPr>
            <w:r>
              <w:rPr>
                <w:rFonts w:hint="eastAsia" w:ascii="宋体" w:hAnsi="宋体"/>
                <w:color w:val="000000"/>
                <w:szCs w:val="21"/>
              </w:rPr>
              <w:t>《工业企业总平面设计规范》</w:t>
            </w:r>
            <w:r>
              <w:rPr>
                <w:rFonts w:hint="eastAsia" w:ascii="宋体" w:hAnsi="宋体"/>
                <w:color w:val="000000"/>
                <w:szCs w:val="21"/>
                <w:lang w:eastAsia="zh-CN"/>
              </w:rPr>
              <w:t>（</w:t>
            </w:r>
            <w:r>
              <w:rPr>
                <w:rFonts w:hint="eastAsia" w:ascii="宋体" w:hAnsi="宋体"/>
                <w:color w:val="000000"/>
                <w:szCs w:val="21"/>
              </w:rPr>
              <w:t>GB50187-2012</w:t>
            </w:r>
            <w:r>
              <w:rPr>
                <w:rFonts w:hint="eastAsia" w:ascii="宋体" w:hAnsi="宋体"/>
                <w:color w:val="000000"/>
                <w:szCs w:val="21"/>
                <w:lang w:eastAsia="zh-CN"/>
              </w:rPr>
              <w:t>）</w:t>
            </w:r>
          </w:p>
        </w:tc>
        <w:tc>
          <w:tcPr>
            <w:tcW w:w="2505" w:type="dxa"/>
            <w:noWrap/>
            <w:vAlign w:val="center"/>
          </w:tcPr>
          <w:p>
            <w:pPr>
              <w:adjustRightInd w:val="0"/>
              <w:snapToGrid w:val="0"/>
              <w:textAlignment w:val="center"/>
              <w:rPr>
                <w:rFonts w:ascii="宋体" w:hAnsi="宋体"/>
                <w:color w:val="000000"/>
                <w:kern w:val="0"/>
                <w:szCs w:val="21"/>
              </w:rPr>
            </w:pPr>
            <w:r>
              <w:rPr>
                <w:rFonts w:hint="eastAsia" w:ascii="宋体" w:hAnsi="宋体"/>
                <w:color w:val="000000"/>
                <w:kern w:val="0"/>
                <w:szCs w:val="21"/>
              </w:rPr>
              <w:t>厂房内雨水排水依托云内动力厂区内原有设施，可以满足项目需求。</w:t>
            </w:r>
          </w:p>
          <w:p>
            <w:pPr>
              <w:snapToGrid w:val="0"/>
              <w:rPr>
                <w:rFonts w:ascii="宋体" w:hAnsi="宋体"/>
                <w:color w:val="000000"/>
                <w:szCs w:val="21"/>
              </w:rPr>
            </w:pPr>
          </w:p>
        </w:tc>
        <w:tc>
          <w:tcPr>
            <w:tcW w:w="760" w:type="dxa"/>
            <w:noWrap/>
            <w:vAlign w:val="center"/>
          </w:tcPr>
          <w:p>
            <w:pPr>
              <w:autoSpaceDE w:val="0"/>
              <w:autoSpaceDN w:val="0"/>
              <w:adjustRightInd w:val="0"/>
              <w:snapToGrid w:val="0"/>
              <w:spacing w:line="340" w:lineRule="atLeast"/>
              <w:jc w:val="center"/>
              <w:rPr>
                <w:rFonts w:cs="宋体"/>
                <w:szCs w:val="21"/>
              </w:rPr>
            </w:pPr>
            <w:r>
              <w:rPr>
                <w:rFonts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08"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textAlignment w:val="center"/>
              <w:rPr>
                <w:rFonts w:hint="eastAsia" w:ascii="宋体" w:hAnsi="宋体"/>
                <w:color w:val="0000FF"/>
                <w:kern w:val="0"/>
                <w:szCs w:val="21"/>
              </w:rPr>
            </w:pPr>
            <w:r>
              <w:rPr>
                <w:rFonts w:hint="eastAsia" w:ascii="宋体" w:hAnsi="宋体"/>
                <w:color w:val="0000FF"/>
                <w:kern w:val="0"/>
                <w:szCs w:val="21"/>
              </w:rPr>
              <w:t>同一座厂房或厂房的任一防火分区内有不同火灾危险性生产时，厂房或防火分区内的生产火灾危险性类别应按火灾危险性较大的部分确定；当生产过程中使用或产生易燃、可燃物的量较少，不足以构成爆炸或火灾危险时，可按实际情况确定；当符合下述条件之一时，可按火灾危险性较小的部分确定：</w:t>
            </w:r>
          </w:p>
          <w:p>
            <w:pPr>
              <w:adjustRightInd w:val="0"/>
              <w:snapToGrid w:val="0"/>
              <w:textAlignment w:val="center"/>
              <w:rPr>
                <w:rFonts w:hint="eastAsia" w:ascii="宋体" w:hAnsi="宋体"/>
                <w:color w:val="0000FF"/>
                <w:kern w:val="0"/>
                <w:szCs w:val="21"/>
              </w:rPr>
            </w:pPr>
            <w:r>
              <w:rPr>
                <w:rFonts w:hint="eastAsia" w:ascii="宋体" w:hAnsi="宋体"/>
                <w:color w:val="0000FF"/>
                <w:kern w:val="0"/>
                <w:szCs w:val="21"/>
              </w:rPr>
              <w:t>1</w:t>
            </w:r>
            <w:r>
              <w:rPr>
                <w:rFonts w:hint="eastAsia" w:ascii="宋体" w:hAnsi="宋体"/>
                <w:color w:val="0000FF"/>
                <w:kern w:val="0"/>
                <w:szCs w:val="21"/>
                <w:lang w:val="en-US" w:eastAsia="zh-CN"/>
              </w:rPr>
              <w:t>.</w:t>
            </w:r>
            <w:r>
              <w:rPr>
                <w:rFonts w:hint="eastAsia" w:ascii="宋体" w:hAnsi="宋体"/>
                <w:color w:val="0000FF"/>
                <w:kern w:val="0"/>
                <w:szCs w:val="21"/>
              </w:rPr>
              <w:t>火灾危险性较大的生产部分占本层或本防火分区建筑面积的比例小于5%或丁、戊类厂房内的油漆工段小于10%，且发生火灾事故时不足以蔓延至其他部位或火灾危险性较大的生产部分采取了有效的防火措施；</w:t>
            </w:r>
          </w:p>
          <w:p>
            <w:pPr>
              <w:adjustRightInd w:val="0"/>
              <w:snapToGrid w:val="0"/>
              <w:textAlignment w:val="center"/>
              <w:rPr>
                <w:rFonts w:hint="eastAsia" w:ascii="宋体" w:hAnsi="宋体"/>
                <w:color w:val="0000FF"/>
                <w:kern w:val="0"/>
                <w:szCs w:val="21"/>
              </w:rPr>
            </w:pPr>
            <w:r>
              <w:rPr>
                <w:rFonts w:hint="eastAsia" w:ascii="宋体" w:hAnsi="宋体"/>
                <w:color w:val="0000FF"/>
                <w:kern w:val="0"/>
                <w:szCs w:val="21"/>
              </w:rPr>
              <w:t>2</w:t>
            </w:r>
            <w:r>
              <w:rPr>
                <w:rFonts w:hint="eastAsia" w:ascii="宋体" w:hAnsi="宋体"/>
                <w:color w:val="0000FF"/>
                <w:kern w:val="0"/>
                <w:szCs w:val="21"/>
                <w:lang w:val="en-US" w:eastAsia="zh-CN"/>
              </w:rPr>
              <w:t>.</w:t>
            </w:r>
            <w:r>
              <w:rPr>
                <w:rFonts w:hint="eastAsia" w:ascii="宋体" w:hAnsi="宋体"/>
                <w:color w:val="0000FF"/>
                <w:kern w:val="0"/>
                <w:szCs w:val="21"/>
              </w:rPr>
              <w:t>丁、戊类厂房内的油漆工段，当采用封闭喷漆工艺，封闭喷漆空间内保持负压、油漆工段设置可燃气体探测报警系统或自动抑爆系统，且油漆工段占所在防火分区建筑面积的比例不大于20%。</w:t>
            </w:r>
          </w:p>
        </w:tc>
        <w:tc>
          <w:tcPr>
            <w:tcW w:w="2310" w:type="dxa"/>
            <w:noWrap/>
            <w:vAlign w:val="center"/>
          </w:tcPr>
          <w:p>
            <w:pPr>
              <w:adjustRightInd w:val="0"/>
              <w:snapToGrid w:val="0"/>
              <w:jc w:val="center"/>
              <w:textAlignment w:val="center"/>
              <w:rPr>
                <w:rFonts w:hint="default" w:ascii="宋体" w:hAnsi="宋体" w:eastAsia="宋体"/>
                <w:color w:val="0000FF"/>
                <w:kern w:val="0"/>
                <w:szCs w:val="21"/>
                <w:lang w:val="en-US" w:eastAsia="zh-CN"/>
              </w:rPr>
            </w:pPr>
            <w:r>
              <w:rPr>
                <w:rFonts w:hint="eastAsia" w:ascii="宋体" w:hAnsi="宋体"/>
                <w:color w:val="0000FF"/>
                <w:kern w:val="0"/>
                <w:szCs w:val="21"/>
              </w:rPr>
              <w:t>《建筑设计防火规范（2018版）》（GB50016－2014）</w:t>
            </w:r>
            <w:r>
              <w:rPr>
                <w:rFonts w:hint="eastAsia" w:ascii="宋体" w:hAnsi="宋体"/>
                <w:color w:val="0000FF"/>
                <w:kern w:val="0"/>
                <w:szCs w:val="21"/>
                <w:lang w:val="en-US" w:eastAsia="zh-CN"/>
              </w:rPr>
              <w:t>3.1.2</w:t>
            </w:r>
          </w:p>
        </w:tc>
        <w:tc>
          <w:tcPr>
            <w:tcW w:w="2505" w:type="dxa"/>
            <w:noWrap/>
            <w:vAlign w:val="center"/>
          </w:tcPr>
          <w:p>
            <w:pPr>
              <w:adjustRightInd w:val="0"/>
              <w:snapToGrid w:val="0"/>
              <w:textAlignment w:val="center"/>
              <w:rPr>
                <w:rFonts w:hint="eastAsia" w:ascii="宋体" w:hAnsi="宋体" w:eastAsia="宋体"/>
                <w:color w:val="0000FF"/>
                <w:kern w:val="0"/>
                <w:szCs w:val="21"/>
                <w:lang w:eastAsia="zh-CN"/>
              </w:rPr>
            </w:pPr>
            <w:r>
              <w:rPr>
                <w:rFonts w:hint="eastAsia" w:ascii="宋体" w:hAnsi="宋体"/>
                <w:color w:val="0000FF"/>
                <w:kern w:val="0"/>
                <w:szCs w:val="21"/>
              </w:rPr>
              <w:t>本项目为新建厂房，项目厂房的耐火等级不低于二级，火灾危险性类别为丁类</w:t>
            </w:r>
            <w:r>
              <w:rPr>
                <w:rFonts w:hint="eastAsia" w:ascii="宋体" w:hAnsi="宋体"/>
                <w:color w:val="0000FF"/>
                <w:kern w:val="0"/>
                <w:szCs w:val="21"/>
                <w:lang w:eastAsia="zh-CN"/>
              </w:rPr>
              <w:t>。</w:t>
            </w:r>
          </w:p>
        </w:tc>
        <w:tc>
          <w:tcPr>
            <w:tcW w:w="760" w:type="dxa"/>
            <w:noWrap/>
            <w:vAlign w:val="center"/>
          </w:tcPr>
          <w:p>
            <w:pPr>
              <w:autoSpaceDE w:val="0"/>
              <w:autoSpaceDN w:val="0"/>
              <w:adjustRightInd w:val="0"/>
              <w:snapToGrid w:val="0"/>
              <w:spacing w:line="340" w:lineRule="atLeast"/>
              <w:jc w:val="center"/>
              <w:rPr>
                <w:rFonts w:hint="eastAsia" w:eastAsia="宋体" w:cs="宋体"/>
                <w:color w:val="0000FF"/>
                <w:szCs w:val="21"/>
                <w:lang w:val="en-US" w:eastAsia="zh-CN"/>
              </w:rPr>
            </w:pPr>
            <w:r>
              <w:rPr>
                <w:rFonts w:hint="eastAsia" w:cs="宋体"/>
                <w:color w:val="0000FF"/>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8"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textAlignment w:val="center"/>
              <w:rPr>
                <w:rFonts w:hint="eastAsia" w:ascii="宋体" w:hAnsi="宋体"/>
                <w:color w:val="0000FF"/>
                <w:kern w:val="0"/>
                <w:szCs w:val="21"/>
              </w:rPr>
            </w:pPr>
            <w:r>
              <w:rPr>
                <w:rFonts w:hint="eastAsia" w:ascii="宋体" w:hAnsi="宋体"/>
                <w:color w:val="0000FF"/>
                <w:kern w:val="0"/>
                <w:szCs w:val="21"/>
              </w:rPr>
              <w:t>厂房和仓库的耐火等级可分为一、二、三、四级，相应建筑构件的燃烧性能和耐火极限，除本规范另有规定外，不应低于表3.2.1 的规定。</w:t>
            </w:r>
          </w:p>
        </w:tc>
        <w:tc>
          <w:tcPr>
            <w:tcW w:w="2310" w:type="dxa"/>
            <w:noWrap/>
            <w:vAlign w:val="center"/>
          </w:tcPr>
          <w:p>
            <w:pPr>
              <w:adjustRightInd w:val="0"/>
              <w:snapToGrid w:val="0"/>
              <w:jc w:val="center"/>
              <w:textAlignment w:val="center"/>
              <w:rPr>
                <w:rFonts w:hint="default" w:ascii="宋体" w:hAnsi="宋体"/>
                <w:color w:val="0000FF"/>
                <w:kern w:val="0"/>
                <w:szCs w:val="21"/>
                <w:lang w:val="en-US"/>
              </w:rPr>
            </w:pPr>
            <w:r>
              <w:rPr>
                <w:rFonts w:hint="eastAsia" w:ascii="宋体" w:hAnsi="宋体"/>
                <w:color w:val="0000FF"/>
                <w:kern w:val="0"/>
                <w:szCs w:val="21"/>
              </w:rPr>
              <w:t>《建筑设计防火规范（2018版）》（GB50016－2014）</w:t>
            </w:r>
            <w:r>
              <w:rPr>
                <w:rFonts w:hint="eastAsia" w:ascii="宋体" w:hAnsi="宋体"/>
                <w:color w:val="0000FF"/>
                <w:kern w:val="0"/>
                <w:szCs w:val="21"/>
                <w:lang w:val="en-US" w:eastAsia="zh-CN"/>
              </w:rPr>
              <w:t>3.2.1</w:t>
            </w:r>
          </w:p>
        </w:tc>
        <w:tc>
          <w:tcPr>
            <w:tcW w:w="2505" w:type="dxa"/>
            <w:noWrap/>
            <w:vAlign w:val="center"/>
          </w:tcPr>
          <w:p>
            <w:pPr>
              <w:adjustRightInd w:val="0"/>
              <w:snapToGrid w:val="0"/>
              <w:textAlignment w:val="center"/>
              <w:rPr>
                <w:rFonts w:hint="eastAsia" w:ascii="宋体" w:hAnsi="宋体" w:eastAsia="宋体"/>
                <w:color w:val="0000FF"/>
                <w:kern w:val="0"/>
                <w:szCs w:val="21"/>
                <w:lang w:val="en-US" w:eastAsia="zh-CN"/>
              </w:rPr>
            </w:pPr>
            <w:r>
              <w:rPr>
                <w:rFonts w:hint="eastAsia" w:ascii="宋体" w:hAnsi="宋体"/>
                <w:color w:val="0000FF"/>
                <w:kern w:val="0"/>
                <w:szCs w:val="21"/>
              </w:rPr>
              <w:t>本项目为新建厂房，项目厂房的耐火等级不低于二级，火灾危险性类别为丁类</w:t>
            </w:r>
            <w:r>
              <w:rPr>
                <w:rFonts w:hint="eastAsia" w:ascii="宋体" w:hAnsi="宋体"/>
                <w:color w:val="0000FF"/>
                <w:kern w:val="0"/>
                <w:szCs w:val="21"/>
                <w:lang w:eastAsia="zh-CN"/>
              </w:rPr>
              <w:t>。</w:t>
            </w:r>
          </w:p>
        </w:tc>
        <w:tc>
          <w:tcPr>
            <w:tcW w:w="760" w:type="dxa"/>
            <w:noWrap/>
            <w:vAlign w:val="center"/>
          </w:tcPr>
          <w:p>
            <w:pPr>
              <w:autoSpaceDE w:val="0"/>
              <w:autoSpaceDN w:val="0"/>
              <w:adjustRightInd w:val="0"/>
              <w:snapToGrid w:val="0"/>
              <w:spacing w:line="340" w:lineRule="atLeast"/>
              <w:jc w:val="center"/>
              <w:rPr>
                <w:rFonts w:hint="eastAsia" w:eastAsia="宋体" w:cs="宋体"/>
                <w:color w:val="0000FF"/>
                <w:szCs w:val="21"/>
                <w:lang w:val="en-US" w:eastAsia="zh-CN"/>
              </w:rPr>
            </w:pPr>
            <w:r>
              <w:rPr>
                <w:rFonts w:hint="eastAsia" w:cs="宋体"/>
                <w:color w:val="0000FF"/>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08"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textAlignment w:val="center"/>
              <w:rPr>
                <w:rFonts w:ascii="宋体" w:hAnsi="宋体"/>
                <w:color w:val="000000"/>
                <w:kern w:val="0"/>
                <w:szCs w:val="21"/>
              </w:rPr>
            </w:pPr>
            <w:r>
              <w:rPr>
                <w:rFonts w:hint="eastAsia" w:ascii="宋体" w:hAnsi="宋体"/>
                <w:color w:val="000000"/>
                <w:kern w:val="0"/>
                <w:szCs w:val="21"/>
              </w:rPr>
              <w:t>变配电所不应设在有爆炸危险的甲、乙类厂房内或贴邻建造，且不应设置在爆炸性气体、粉尘环境的危险区域内。</w:t>
            </w:r>
          </w:p>
        </w:tc>
        <w:tc>
          <w:tcPr>
            <w:tcW w:w="2310" w:type="dxa"/>
            <w:noWrap/>
            <w:vAlign w:val="center"/>
          </w:tcPr>
          <w:p>
            <w:pPr>
              <w:adjustRightInd w:val="0"/>
              <w:snapToGrid w:val="0"/>
              <w:jc w:val="center"/>
              <w:textAlignment w:val="center"/>
              <w:rPr>
                <w:rFonts w:ascii="宋体" w:hAnsi="宋体"/>
                <w:color w:val="000000"/>
                <w:kern w:val="0"/>
                <w:szCs w:val="21"/>
              </w:rPr>
            </w:pPr>
            <w:r>
              <w:rPr>
                <w:rFonts w:hint="eastAsia" w:ascii="宋体" w:hAnsi="宋体"/>
                <w:color w:val="000000"/>
                <w:kern w:val="0"/>
                <w:szCs w:val="21"/>
              </w:rPr>
              <w:t>《建筑设计防火规范（2018版）》（GB50016－2014）3.3.8</w:t>
            </w:r>
          </w:p>
        </w:tc>
        <w:tc>
          <w:tcPr>
            <w:tcW w:w="2505" w:type="dxa"/>
            <w:noWrap/>
            <w:vAlign w:val="center"/>
          </w:tcPr>
          <w:p>
            <w:pPr>
              <w:adjustRightInd w:val="0"/>
              <w:snapToGrid w:val="0"/>
              <w:textAlignment w:val="center"/>
              <w:rPr>
                <w:rFonts w:ascii="宋体" w:hAnsi="宋体"/>
                <w:color w:val="000000"/>
                <w:kern w:val="0"/>
                <w:szCs w:val="21"/>
              </w:rPr>
            </w:pPr>
            <w:r>
              <w:rPr>
                <w:rFonts w:hint="eastAsia" w:ascii="宋体" w:hAnsi="宋体"/>
                <w:color w:val="000000"/>
                <w:kern w:val="0"/>
                <w:szCs w:val="21"/>
              </w:rPr>
              <w:t>本项目由厂区内110/10kV降压站引来2路10kV电源。两路10kV电源经厂区项目电缆沟及埋地管道分别接入第三联合厂房东侧处的2个10/0.4kV变电所。不在爆炸性气体、粉尘环境的危险区域内。</w:t>
            </w:r>
          </w:p>
        </w:tc>
        <w:tc>
          <w:tcPr>
            <w:tcW w:w="760" w:type="dxa"/>
            <w:noWrap/>
            <w:vAlign w:val="center"/>
          </w:tcPr>
          <w:p>
            <w:pPr>
              <w:autoSpaceDE w:val="0"/>
              <w:autoSpaceDN w:val="0"/>
              <w:adjustRightInd w:val="0"/>
              <w:snapToGrid w:val="0"/>
              <w:spacing w:line="340" w:lineRule="atLeast"/>
              <w:jc w:val="center"/>
              <w:rPr>
                <w:rFonts w:cs="宋体"/>
                <w:szCs w:val="21"/>
              </w:rPr>
            </w:pPr>
            <w:r>
              <w:rPr>
                <w:rFonts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08"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color w:val="0000FF"/>
                <w:szCs w:val="21"/>
              </w:rPr>
            </w:pPr>
          </w:p>
        </w:tc>
        <w:tc>
          <w:tcPr>
            <w:tcW w:w="3749" w:type="dxa"/>
            <w:noWrap/>
            <w:vAlign w:val="center"/>
          </w:tcPr>
          <w:p>
            <w:pPr>
              <w:adjustRightInd w:val="0"/>
              <w:snapToGrid w:val="0"/>
              <w:textAlignment w:val="center"/>
              <w:rPr>
                <w:rFonts w:hint="eastAsia" w:ascii="宋体" w:hAnsi="宋体"/>
                <w:color w:val="0000FF"/>
                <w:kern w:val="0"/>
                <w:szCs w:val="21"/>
              </w:rPr>
            </w:pPr>
            <w:r>
              <w:rPr>
                <w:rFonts w:hint="eastAsia" w:ascii="宋体" w:hAnsi="宋体"/>
                <w:color w:val="0000FF"/>
                <w:kern w:val="0"/>
                <w:szCs w:val="21"/>
              </w:rPr>
              <w:t>厂房的安全出口应分散布置。每个防火分区或一个防火分区的每个楼层，其相邻2 个安全出口最近边缘之间的水平距离不应小于5m。</w:t>
            </w:r>
          </w:p>
        </w:tc>
        <w:tc>
          <w:tcPr>
            <w:tcW w:w="2310" w:type="dxa"/>
            <w:noWrap/>
            <w:vAlign w:val="center"/>
          </w:tcPr>
          <w:p>
            <w:pPr>
              <w:adjustRightInd w:val="0"/>
              <w:snapToGrid w:val="0"/>
              <w:jc w:val="center"/>
              <w:textAlignment w:val="center"/>
              <w:rPr>
                <w:rFonts w:hint="eastAsia" w:ascii="宋体" w:hAnsi="宋体" w:eastAsia="宋体"/>
                <w:color w:val="0000FF"/>
                <w:kern w:val="0"/>
                <w:szCs w:val="21"/>
                <w:lang w:eastAsia="zh-CN"/>
              </w:rPr>
            </w:pPr>
            <w:r>
              <w:rPr>
                <w:rFonts w:hint="eastAsia" w:ascii="宋体" w:hAnsi="宋体"/>
                <w:color w:val="0000FF"/>
                <w:kern w:val="0"/>
                <w:szCs w:val="21"/>
              </w:rPr>
              <w:t>《建筑设计防火规范（2018版）》（GB50016－2014）3.</w:t>
            </w:r>
            <w:r>
              <w:rPr>
                <w:rFonts w:hint="eastAsia" w:ascii="宋体" w:hAnsi="宋体"/>
                <w:color w:val="0000FF"/>
                <w:kern w:val="0"/>
                <w:szCs w:val="21"/>
                <w:lang w:val="en-US" w:eastAsia="zh-CN"/>
              </w:rPr>
              <w:t>7</w:t>
            </w:r>
            <w:r>
              <w:rPr>
                <w:rFonts w:hint="eastAsia" w:ascii="宋体" w:hAnsi="宋体"/>
                <w:color w:val="0000FF"/>
                <w:kern w:val="0"/>
                <w:szCs w:val="21"/>
              </w:rPr>
              <w:t>.</w:t>
            </w:r>
            <w:r>
              <w:rPr>
                <w:rFonts w:hint="eastAsia" w:ascii="宋体" w:hAnsi="宋体"/>
                <w:color w:val="0000FF"/>
                <w:kern w:val="0"/>
                <w:szCs w:val="21"/>
                <w:lang w:val="en-US" w:eastAsia="zh-CN"/>
              </w:rPr>
              <w:t>1</w:t>
            </w:r>
          </w:p>
        </w:tc>
        <w:tc>
          <w:tcPr>
            <w:tcW w:w="2505" w:type="dxa"/>
            <w:noWrap/>
            <w:vAlign w:val="center"/>
          </w:tcPr>
          <w:p>
            <w:pPr>
              <w:adjustRightInd w:val="0"/>
              <w:snapToGrid w:val="0"/>
              <w:textAlignment w:val="center"/>
              <w:rPr>
                <w:rFonts w:hint="eastAsia" w:ascii="宋体" w:hAnsi="宋体" w:eastAsia="宋体"/>
                <w:color w:val="0000FF"/>
                <w:kern w:val="0"/>
                <w:szCs w:val="21"/>
                <w:lang w:eastAsia="zh-CN"/>
              </w:rPr>
            </w:pPr>
            <w:r>
              <w:rPr>
                <w:rFonts w:hint="eastAsia" w:ascii="宋体" w:hAnsi="宋体" w:cs="宋体"/>
                <w:color w:val="0000FF"/>
                <w:szCs w:val="21"/>
              </w:rPr>
              <w:t>本项目总平面布置功能区域划分明确，布置紧凑，建构筑物和设备设施的布置满足防火间距的要求；安全出口和安全通道、消防通道的设置符合标准要求</w:t>
            </w:r>
            <w:r>
              <w:rPr>
                <w:rFonts w:hint="eastAsia" w:ascii="宋体" w:hAnsi="宋体" w:cs="宋体"/>
                <w:color w:val="0000FF"/>
                <w:szCs w:val="21"/>
                <w:lang w:eastAsia="zh-CN"/>
              </w:rPr>
              <w:t>。</w:t>
            </w:r>
          </w:p>
        </w:tc>
        <w:tc>
          <w:tcPr>
            <w:tcW w:w="760" w:type="dxa"/>
            <w:noWrap/>
            <w:vAlign w:val="center"/>
          </w:tcPr>
          <w:p>
            <w:pPr>
              <w:autoSpaceDE w:val="0"/>
              <w:autoSpaceDN w:val="0"/>
              <w:adjustRightInd w:val="0"/>
              <w:snapToGrid w:val="0"/>
              <w:spacing w:line="340" w:lineRule="atLeast"/>
              <w:jc w:val="center"/>
              <w:rPr>
                <w:rFonts w:hint="eastAsia" w:eastAsia="宋体" w:cs="宋体"/>
                <w:color w:val="0000FF"/>
                <w:szCs w:val="21"/>
                <w:lang w:val="en-US" w:eastAsia="zh-CN"/>
              </w:rPr>
            </w:pPr>
            <w:r>
              <w:rPr>
                <w:rFonts w:hint="eastAsia" w:cs="宋体"/>
                <w:color w:val="0000FF"/>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1"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cs="宋体"/>
                <w:szCs w:val="21"/>
              </w:rPr>
            </w:pPr>
            <w:r>
              <w:rPr>
                <w:rFonts w:ascii="宋体" w:hAnsi="宋体" w:cs="宋体"/>
                <w:szCs w:val="21"/>
              </w:rPr>
              <w:t>厂区总平面布置应有合理的分区，辅助设施宜靠近其服务的车间。</w:t>
            </w:r>
          </w:p>
        </w:tc>
        <w:tc>
          <w:tcPr>
            <w:tcW w:w="2310" w:type="dxa"/>
            <w:noWrap/>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《机械工程建设项目职业安全卫生设计规范》（GB51155-2016）3.2.1</w:t>
            </w:r>
          </w:p>
        </w:tc>
        <w:tc>
          <w:tcPr>
            <w:tcW w:w="2505" w:type="dxa"/>
            <w:noWrap/>
            <w:vAlign w:val="center"/>
          </w:tcPr>
          <w:p>
            <w:pPr>
              <w:adjustRightInd w:val="0"/>
              <w:snapToGrid w:val="0"/>
              <w:rPr>
                <w:rFonts w:ascii="宋体" w:hAnsi="宋体" w:cs="宋体"/>
                <w:szCs w:val="21"/>
              </w:rPr>
            </w:pPr>
            <w:r>
              <w:rPr>
                <w:rFonts w:hint="eastAsia" w:ascii="宋体" w:hAnsi="宋体" w:cs="宋体"/>
                <w:szCs w:val="21"/>
              </w:rPr>
              <w:t>厂区总平面布置合理分区，</w:t>
            </w:r>
            <w:r>
              <w:rPr>
                <w:rFonts w:ascii="宋体" w:hAnsi="宋体" w:cs="宋体"/>
                <w:szCs w:val="21"/>
              </w:rPr>
              <w:t>辅助设施宜靠近其服务的车间。</w:t>
            </w:r>
          </w:p>
        </w:tc>
        <w:tc>
          <w:tcPr>
            <w:tcW w:w="76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11"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产生高噪声的生产设施宜相对集中布置，且应远离要求安静的区域。</w:t>
            </w:r>
          </w:p>
        </w:tc>
        <w:tc>
          <w:tcPr>
            <w:tcW w:w="2310" w:type="dxa"/>
            <w:noWrap/>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《机械工程建设项目职业安全卫生设计规范》（GB51155-2016）3.2.5</w:t>
            </w:r>
          </w:p>
        </w:tc>
        <w:tc>
          <w:tcPr>
            <w:tcW w:w="2505" w:type="dxa"/>
            <w:noWrap/>
            <w:vAlign w:val="center"/>
          </w:tcPr>
          <w:p>
            <w:pPr>
              <w:adjustRightInd w:val="0"/>
              <w:snapToGrid w:val="0"/>
              <w:rPr>
                <w:rFonts w:ascii="宋体" w:hAnsi="宋体"/>
                <w:szCs w:val="21"/>
              </w:rPr>
            </w:pPr>
            <w:r>
              <w:rPr>
                <w:rFonts w:ascii="宋体" w:hAnsi="宋体"/>
                <w:szCs w:val="21"/>
              </w:rPr>
              <w:t>对动力机械，如空压站等所产生的噪声和振动采用加设隔振垫并设置独立站房等措施。对试车间采取有效减弱和隔声措施，如四周安装隔声墙、安装双层玻璃等</w:t>
            </w:r>
            <w:r>
              <w:rPr>
                <w:rFonts w:hint="eastAsia" w:ascii="宋体" w:hAnsi="宋体"/>
                <w:szCs w:val="21"/>
              </w:rPr>
              <w:t>。</w:t>
            </w:r>
          </w:p>
        </w:tc>
        <w:tc>
          <w:tcPr>
            <w:tcW w:w="760" w:type="dxa"/>
            <w:noWrap/>
            <w:vAlign w:val="center"/>
          </w:tcPr>
          <w:p>
            <w:pPr>
              <w:adjustRightInd w:val="0"/>
              <w:snapToGrid w:val="0"/>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11"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布置产生强烈振动的生产设施时，应避开对防振有要求的车间和办公室等建(构)筑物。</w:t>
            </w:r>
          </w:p>
        </w:tc>
        <w:tc>
          <w:tcPr>
            <w:tcW w:w="2310" w:type="dxa"/>
            <w:noWrap/>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《机械工程建设项目职业安全卫生设计规范》（GB51155-2016）3.2.6</w:t>
            </w:r>
          </w:p>
        </w:tc>
        <w:tc>
          <w:tcPr>
            <w:tcW w:w="2505" w:type="dxa"/>
            <w:noWrap/>
            <w:vAlign w:val="center"/>
          </w:tcPr>
          <w:p>
            <w:pPr>
              <w:adjustRightInd w:val="0"/>
              <w:snapToGrid w:val="0"/>
              <w:rPr>
                <w:rFonts w:ascii="宋体" w:hAnsi="宋体"/>
                <w:szCs w:val="21"/>
              </w:rPr>
            </w:pPr>
            <w:r>
              <w:rPr>
                <w:rFonts w:hint="eastAsia" w:ascii="宋体" w:hAnsi="宋体"/>
                <w:szCs w:val="21"/>
              </w:rPr>
              <w:t>对于振动设备设置减震基础，产生噪声的部位将其密封。且避开防振有要求的车间和办公室等建(构)筑物。</w:t>
            </w:r>
          </w:p>
        </w:tc>
        <w:tc>
          <w:tcPr>
            <w:tcW w:w="760" w:type="dxa"/>
            <w:noWrap/>
            <w:vAlign w:val="center"/>
          </w:tcPr>
          <w:p>
            <w:pPr>
              <w:adjustRightInd w:val="0"/>
              <w:snapToGrid w:val="0"/>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11" w:hRule="atLeast"/>
          <w:jc w:val="center"/>
        </w:trPr>
        <w:tc>
          <w:tcPr>
            <w:tcW w:w="535" w:type="dxa"/>
            <w:noWrap/>
            <w:tcMar>
              <w:left w:w="28" w:type="dxa"/>
              <w:right w:w="28" w:type="dxa"/>
            </w:tcMar>
            <w:vAlign w:val="center"/>
          </w:tcPr>
          <w:p>
            <w:pPr>
              <w:numPr>
                <w:ilvl w:val="0"/>
                <w:numId w:val="13"/>
              </w:numPr>
              <w:snapToGrid w:val="0"/>
              <w:jc w:val="center"/>
              <w:rPr>
                <w:rFonts w:ascii="宋体" w:hAnsi="宋体" w:cs="宋体"/>
                <w:szCs w:val="21"/>
              </w:rPr>
            </w:pPr>
          </w:p>
        </w:tc>
        <w:tc>
          <w:tcPr>
            <w:tcW w:w="3749" w:type="dxa"/>
            <w:noWrap/>
            <w:vAlign w:val="center"/>
          </w:tcPr>
          <w:p>
            <w:pPr>
              <w:adjustRightInd w:val="0"/>
              <w:snapToGrid w:val="0"/>
              <w:rPr>
                <w:rFonts w:ascii="宋体" w:hAnsi="宋体"/>
                <w:szCs w:val="21"/>
              </w:rPr>
            </w:pPr>
            <w:r>
              <w:rPr>
                <w:rFonts w:hint="eastAsia" w:ascii="宋体" w:hAnsi="宋体"/>
                <w:szCs w:val="21"/>
              </w:rPr>
              <w:t>原料、成品、危险化学品、油库、木材库和包装材料等库房，宜分类集中布置。储存易燃、易爆、有毒物品的库房、储罐和堆场宜布置在厂区全年最小频率风向的上风侧及边缘地区，并应远离火源、主要建(构)筑物和人员集中的地带。</w:t>
            </w:r>
          </w:p>
        </w:tc>
        <w:tc>
          <w:tcPr>
            <w:tcW w:w="2310" w:type="dxa"/>
            <w:noWrap/>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《机械工程建设项目职业安全卫生设计规范》（GB51155-2016）3.2.7</w:t>
            </w:r>
          </w:p>
        </w:tc>
        <w:tc>
          <w:tcPr>
            <w:tcW w:w="2505" w:type="dxa"/>
            <w:noWrap/>
            <w:vAlign w:val="center"/>
          </w:tcPr>
          <w:p>
            <w:pPr>
              <w:adjustRightInd w:val="0"/>
              <w:snapToGrid w:val="0"/>
              <w:rPr>
                <w:rFonts w:ascii="宋体" w:hAnsi="宋体"/>
                <w:szCs w:val="21"/>
              </w:rPr>
            </w:pPr>
            <w:r>
              <w:rPr>
                <w:rFonts w:hint="eastAsia" w:ascii="宋体" w:hAnsi="宋体"/>
                <w:szCs w:val="21"/>
              </w:rPr>
              <w:t>原料、成品、危险化学品、油库分类布置。</w:t>
            </w:r>
          </w:p>
        </w:tc>
        <w:tc>
          <w:tcPr>
            <w:tcW w:w="760" w:type="dxa"/>
            <w:noWrap/>
            <w:vAlign w:val="center"/>
          </w:tcPr>
          <w:p>
            <w:pPr>
              <w:adjustRightInd w:val="0"/>
              <w:snapToGrid w:val="0"/>
              <w:rPr>
                <w:rFonts w:ascii="宋体" w:hAnsi="宋体"/>
                <w:szCs w:val="21"/>
              </w:rPr>
            </w:pPr>
            <w:r>
              <w:rPr>
                <w:rFonts w:hint="eastAsia" w:ascii="宋体" w:hAnsi="宋体"/>
                <w:szCs w:val="21"/>
              </w:rPr>
              <w:t>符合</w:t>
            </w:r>
          </w:p>
        </w:tc>
      </w:tr>
    </w:tbl>
    <w:p>
      <w:pPr>
        <w:adjustRightInd w:val="0"/>
        <w:snapToGrid w:val="0"/>
        <w:spacing w:line="360" w:lineRule="auto"/>
        <w:ind w:firstLine="560" w:firstLineChars="200"/>
        <w:rPr>
          <w:snapToGrid w:val="0"/>
          <w:kern w:val="0"/>
          <w:sz w:val="28"/>
          <w:szCs w:val="28"/>
        </w:rPr>
      </w:pPr>
      <w:r>
        <w:rPr>
          <w:rFonts w:hint="eastAsia"/>
          <w:snapToGrid w:val="0"/>
          <w:kern w:val="0"/>
          <w:sz w:val="28"/>
          <w:szCs w:val="28"/>
        </w:rPr>
        <w:t>由上述安全检查结果可知：本项目总平面布置的设计总体符合《建筑设计防火规范（2018年版）》（GB50016-2014）、《工业企业总平面设计规范》（GB50187-2012）、《生产过程安全卫生要求总则》（GB/T12801-2008）、《工业企业设计卫生标准》（GBZ1-2010）、《机械工程建设项目职业安全卫生设计规范》（GB51155-2016）、《危险化学品中间仓库安全管理规范》</w:t>
      </w:r>
      <w:r>
        <w:rPr>
          <w:rFonts w:hint="eastAsia"/>
          <w:sz w:val="28"/>
          <w:szCs w:val="28"/>
        </w:rPr>
        <w:t>（</w:t>
      </w:r>
      <w:r>
        <w:rPr>
          <w:rFonts w:hint="eastAsia"/>
          <w:sz w:val="28"/>
          <w:szCs w:val="28"/>
          <w:lang w:val="en-US" w:eastAsia="zh-CN"/>
        </w:rPr>
        <w:t>D</w:t>
      </w:r>
      <w:r>
        <w:rPr>
          <w:rFonts w:hint="eastAsia"/>
          <w:sz w:val="28"/>
          <w:szCs w:val="28"/>
        </w:rPr>
        <w:t>B4403/T</w:t>
      </w:r>
      <w:r>
        <w:rPr>
          <w:rFonts w:hint="eastAsia"/>
          <w:sz w:val="28"/>
          <w:szCs w:val="28"/>
          <w:lang w:val="en-US" w:eastAsia="zh-CN"/>
        </w:rPr>
        <w:t>80</w:t>
      </w:r>
      <w:r>
        <w:rPr>
          <w:rFonts w:hint="eastAsia"/>
          <w:sz w:val="28"/>
          <w:szCs w:val="28"/>
        </w:rPr>
        <w:t>-2020）</w:t>
      </w:r>
      <w:r>
        <w:rPr>
          <w:rFonts w:hint="eastAsia"/>
          <w:snapToGrid w:val="0"/>
          <w:kern w:val="0"/>
          <w:sz w:val="28"/>
          <w:szCs w:val="28"/>
        </w:rPr>
        <w:t>等标准、规范要求。</w:t>
      </w:r>
    </w:p>
    <w:p>
      <w:pPr>
        <w:pStyle w:val="5"/>
        <w:keepNext w:val="0"/>
        <w:keepLines w:val="0"/>
        <w:snapToGrid w:val="0"/>
        <w:spacing w:before="0" w:after="0" w:line="360" w:lineRule="auto"/>
        <w:rPr>
          <w:rFonts w:ascii="宋体" w:hAnsi="宋体" w:cs="宋体"/>
          <w:sz w:val="28"/>
          <w:szCs w:val="28"/>
        </w:rPr>
      </w:pPr>
      <w:bookmarkStart w:id="516" w:name="_Toc259"/>
      <w:r>
        <w:rPr>
          <w:rFonts w:hint="eastAsia" w:ascii="宋体" w:hAnsi="宋体" w:cs="宋体"/>
          <w:sz w:val="28"/>
          <w:szCs w:val="28"/>
        </w:rPr>
        <w:t>5.2.2</w:t>
      </w:r>
      <w:r>
        <w:rPr>
          <w:rFonts w:hint="eastAsia" w:ascii="宋体" w:hAnsi="宋体" w:cs="宋体"/>
          <w:sz w:val="28"/>
          <w:szCs w:val="28"/>
          <w:lang w:val="en-US" w:eastAsia="zh-CN"/>
        </w:rPr>
        <w:t xml:space="preserve"> </w:t>
      </w:r>
      <w:r>
        <w:rPr>
          <w:rFonts w:hint="eastAsia" w:ascii="宋体" w:hAnsi="宋体" w:cs="宋体"/>
          <w:sz w:val="28"/>
          <w:szCs w:val="28"/>
        </w:rPr>
        <w:t>建（构）筑物的防火安全间距</w:t>
      </w:r>
      <w:bookmarkEnd w:id="516"/>
    </w:p>
    <w:p>
      <w:pPr>
        <w:adjustRightInd w:val="0"/>
        <w:snapToGrid w:val="0"/>
        <w:spacing w:line="360" w:lineRule="auto"/>
        <w:ind w:firstLine="560" w:firstLineChars="200"/>
        <w:rPr>
          <w:kern w:val="0"/>
          <w:sz w:val="24"/>
        </w:rPr>
      </w:pPr>
      <w:r>
        <w:rPr>
          <w:rFonts w:hint="eastAsia" w:ascii="宋体" w:hAnsi="宋体" w:cs="宋体"/>
          <w:snapToGrid w:val="0"/>
          <w:kern w:val="0"/>
          <w:sz w:val="28"/>
        </w:rPr>
        <w:t>G系列节能环保轻型商用汽油机产业化建设项目总体布局紧凑，界区功能明确，实用合理。厂区内平面布局间距见下表。</w:t>
      </w:r>
    </w:p>
    <w:p>
      <w:pPr>
        <w:spacing w:line="360" w:lineRule="auto"/>
        <w:ind w:firstLine="480" w:firstLineChars="200"/>
        <w:jc w:val="center"/>
        <w:rPr>
          <w:kern w:val="0"/>
          <w:sz w:val="24"/>
        </w:rPr>
      </w:pPr>
      <w:r>
        <w:rPr>
          <w:rFonts w:hint="eastAsia"/>
          <w:kern w:val="0"/>
          <w:sz w:val="24"/>
        </w:rPr>
        <w:t>表5.2-2第三联合厂房与周边厂房防火间距表</w:t>
      </w:r>
    </w:p>
    <w:tbl>
      <w:tblPr>
        <w:tblStyle w:val="52"/>
        <w:tblW w:w="50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6"/>
        <w:gridCol w:w="2257"/>
        <w:gridCol w:w="953"/>
        <w:gridCol w:w="1087"/>
        <w:gridCol w:w="1125"/>
        <w:gridCol w:w="960"/>
        <w:gridCol w:w="968"/>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eastAsia="宋体"/>
                <w:b/>
                <w:bCs/>
                <w:kern w:val="0"/>
                <w:szCs w:val="21"/>
                <w:lang w:eastAsia="zh-CN"/>
              </w:rPr>
            </w:pPr>
            <w:r>
              <w:rPr>
                <w:rFonts w:hint="eastAsia"/>
                <w:b/>
                <w:bCs/>
                <w:kern w:val="0"/>
                <w:szCs w:val="21"/>
                <w:lang w:val="en-US" w:eastAsia="zh-CN"/>
              </w:rPr>
              <w:t>编号</w:t>
            </w:r>
          </w:p>
        </w:tc>
        <w:tc>
          <w:tcPr>
            <w:tcW w:w="1180"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建构筑物名称</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火灾类别</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耐火</w:t>
            </w:r>
          </w:p>
          <w:p>
            <w:pPr>
              <w:snapToGrid w:val="0"/>
              <w:jc w:val="center"/>
              <w:rPr>
                <w:b/>
                <w:bCs/>
                <w:kern w:val="0"/>
                <w:szCs w:val="21"/>
              </w:rPr>
            </w:pPr>
            <w:r>
              <w:rPr>
                <w:rFonts w:hint="eastAsia"/>
                <w:b/>
                <w:bCs/>
                <w:kern w:val="0"/>
                <w:szCs w:val="21"/>
              </w:rPr>
              <w:t>等级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相对方位</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实际距离（m）</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标准距离(m)</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b/>
                <w:bCs/>
                <w:kern w:val="0"/>
                <w:szCs w:val="21"/>
              </w:rPr>
            </w:pPr>
            <w:r>
              <w:rPr>
                <w:rFonts w:hint="eastAsia"/>
                <w:b/>
                <w:bCs/>
                <w:kern w:val="0"/>
                <w:szCs w:val="21"/>
              </w:rPr>
              <w:t>是否符合标准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1</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公共仓库</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南边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25</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2</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研发中心</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南边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96</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3</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加油站</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乙类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三级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29.2</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12</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4</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消防水池及污水处理站</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30.3</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5</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危废库</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丙类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三级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32.6</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6</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云内动力成品库</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戊类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西北</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43.7</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7</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第一发动机联合厂房</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北边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29.2</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8</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第二发动机联合厂房</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东北边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59.2</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9</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物流配送中心</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东边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45.5</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322" w:type="pct"/>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1180" w:type="pct"/>
            <w:tcBorders>
              <w:top w:val="single" w:color="000000" w:sz="4" w:space="0"/>
              <w:left w:val="nil"/>
              <w:bottom w:val="single" w:color="000000" w:sz="4" w:space="0"/>
              <w:right w:val="single" w:color="000000" w:sz="4" w:space="0"/>
            </w:tcBorders>
            <w:noWrap/>
            <w:vAlign w:val="center"/>
          </w:tcPr>
          <w:p>
            <w:pPr>
              <w:snapToGrid w:val="0"/>
              <w:jc w:val="left"/>
              <w:rPr>
                <w:kern w:val="0"/>
                <w:szCs w:val="21"/>
              </w:rPr>
            </w:pPr>
            <w:r>
              <w:rPr>
                <w:rFonts w:hint="eastAsia"/>
                <w:kern w:val="0"/>
                <w:szCs w:val="21"/>
              </w:rPr>
              <w:t>第四联合厂房</w:t>
            </w:r>
          </w:p>
        </w:tc>
        <w:tc>
          <w:tcPr>
            <w:tcW w:w="49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丁类</w:t>
            </w:r>
          </w:p>
        </w:tc>
        <w:tc>
          <w:tcPr>
            <w:tcW w:w="56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二级</w:t>
            </w:r>
          </w:p>
        </w:tc>
        <w:tc>
          <w:tcPr>
            <w:tcW w:w="588"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东边</w:t>
            </w:r>
          </w:p>
        </w:tc>
        <w:tc>
          <w:tcPr>
            <w:tcW w:w="502"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48</w:t>
            </w:r>
          </w:p>
        </w:tc>
        <w:tc>
          <w:tcPr>
            <w:tcW w:w="506"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10</w:t>
            </w:r>
          </w:p>
        </w:tc>
        <w:tc>
          <w:tcPr>
            <w:tcW w:w="831" w:type="pct"/>
            <w:tcBorders>
              <w:top w:val="single" w:color="000000" w:sz="4" w:space="0"/>
              <w:left w:val="nil"/>
              <w:bottom w:val="single" w:color="000000" w:sz="4" w:space="0"/>
              <w:right w:val="single" w:color="000000" w:sz="4" w:space="0"/>
            </w:tcBorders>
            <w:noWrap/>
            <w:vAlign w:val="center"/>
          </w:tcPr>
          <w:p>
            <w:pPr>
              <w:snapToGrid w:val="0"/>
              <w:jc w:val="center"/>
              <w:rPr>
                <w:kern w:val="0"/>
                <w:szCs w:val="21"/>
              </w:rPr>
            </w:pPr>
            <w:r>
              <w:rPr>
                <w:rFonts w:hint="eastAsia"/>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pPr>
              <w:snapToGrid w:val="0"/>
              <w:jc w:val="center"/>
              <w:rPr>
                <w:kern w:val="0"/>
                <w:szCs w:val="21"/>
              </w:rPr>
            </w:pPr>
            <w:r>
              <w:rPr>
                <w:rFonts w:hint="eastAsia"/>
                <w:kern w:val="0"/>
                <w:szCs w:val="21"/>
              </w:rPr>
              <w:t>安全距离判定标准按照《建筑设计防火规范》（GB50016）中表3.4.1中规定距离进行判定。</w:t>
            </w:r>
          </w:p>
        </w:tc>
      </w:tr>
    </w:tbl>
    <w:p>
      <w:pPr>
        <w:adjustRightInd w:val="0"/>
        <w:snapToGrid w:val="0"/>
        <w:spacing w:line="360" w:lineRule="auto"/>
        <w:ind w:firstLine="560" w:firstLineChars="200"/>
        <w:rPr>
          <w:snapToGrid w:val="0"/>
          <w:kern w:val="0"/>
          <w:sz w:val="28"/>
          <w:szCs w:val="28"/>
        </w:rPr>
      </w:pPr>
      <w:r>
        <w:rPr>
          <w:rFonts w:hint="eastAsia"/>
          <w:snapToGrid w:val="0"/>
          <w:kern w:val="0"/>
          <w:sz w:val="28"/>
          <w:szCs w:val="28"/>
        </w:rPr>
        <w:t>经检查，项目与周边建构物的安全距离符合规范要求。</w:t>
      </w:r>
    </w:p>
    <w:bookmarkEnd w:id="514"/>
    <w:bookmarkEnd w:id="515"/>
    <w:p>
      <w:pPr>
        <w:pStyle w:val="5"/>
        <w:keepNext w:val="0"/>
        <w:keepLines w:val="0"/>
        <w:snapToGrid w:val="0"/>
        <w:spacing w:before="0" w:after="0" w:line="360" w:lineRule="auto"/>
        <w:rPr>
          <w:rFonts w:ascii="宋体" w:hAnsi="宋体" w:cs="宋体"/>
          <w:sz w:val="28"/>
          <w:szCs w:val="28"/>
        </w:rPr>
      </w:pPr>
      <w:bookmarkStart w:id="517" w:name="_Toc485655381"/>
      <w:bookmarkStart w:id="518" w:name="_Toc26027824"/>
      <w:bookmarkStart w:id="519" w:name="_Toc2114"/>
      <w:bookmarkStart w:id="520" w:name="_Toc15330"/>
      <w:bookmarkStart w:id="521" w:name="_Toc24926099"/>
      <w:bookmarkStart w:id="522" w:name="_Toc16170260"/>
      <w:bookmarkStart w:id="523" w:name="_Hlk24278887"/>
      <w:bookmarkStart w:id="524" w:name="_Toc18422"/>
      <w:r>
        <w:rPr>
          <w:rFonts w:hint="eastAsia" w:ascii="宋体" w:hAnsi="宋体" w:cs="宋体"/>
          <w:sz w:val="28"/>
          <w:szCs w:val="28"/>
        </w:rPr>
        <w:t>5.2.3</w:t>
      </w:r>
      <w:r>
        <w:rPr>
          <w:rFonts w:hint="eastAsia" w:ascii="宋体" w:hAnsi="宋体" w:cs="宋体"/>
          <w:sz w:val="28"/>
          <w:szCs w:val="28"/>
          <w:lang w:val="en-US" w:eastAsia="zh-CN"/>
        </w:rPr>
        <w:t xml:space="preserve"> </w:t>
      </w:r>
      <w:r>
        <w:rPr>
          <w:rFonts w:hint="eastAsia" w:ascii="宋体" w:hAnsi="宋体" w:cs="宋体"/>
          <w:sz w:val="28"/>
          <w:szCs w:val="28"/>
        </w:rPr>
        <w:t>单元小结</w:t>
      </w:r>
      <w:bookmarkEnd w:id="517"/>
      <w:bookmarkEnd w:id="518"/>
      <w:bookmarkEnd w:id="519"/>
      <w:bookmarkEnd w:id="520"/>
      <w:bookmarkEnd w:id="521"/>
      <w:bookmarkEnd w:id="522"/>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本项目厂址周边无文教区、水源保护区、名胜古迹、风景区、自然保护区和其它需要特别保护的区域等，厂址选择符合《工业企业总平面设计规范》（GB50187-2012）、《建筑设计防火规范（2018年版）》（GB50016-2014）的相关要求；项目与周边环境之间的相互影响在可接受范围内；项目所在区域的气象、地质等自然条件等能满足安全要求；本项目总平面布置方案功能区域划分明确，防火间距符合《工业企业总平面设计规范》（GB50187-2012）、《建筑设计防火规范（2018年版）》（GB50016-2014）的安全要求；项目总平面布置与工艺流程相适应。</w:t>
      </w:r>
    </w:p>
    <w:bookmarkEnd w:id="523"/>
    <w:bookmarkEnd w:id="524"/>
    <w:p>
      <w:pPr>
        <w:pStyle w:val="4"/>
        <w:keepNext w:val="0"/>
        <w:keepLines w:val="0"/>
        <w:snapToGrid w:val="0"/>
        <w:spacing w:before="0" w:after="0" w:line="360" w:lineRule="auto"/>
        <w:jc w:val="left"/>
        <w:rPr>
          <w:rFonts w:ascii="宋体" w:hAnsi="宋体" w:cs="宋体"/>
          <w:snapToGrid/>
          <w:kern w:val="2"/>
        </w:rPr>
      </w:pPr>
      <w:bookmarkStart w:id="525" w:name="_Toc29355"/>
      <w:bookmarkStart w:id="526" w:name="_Toc2245"/>
      <w:bookmarkStart w:id="527" w:name="_Toc19835"/>
      <w:r>
        <w:rPr>
          <w:rFonts w:hint="eastAsia" w:ascii="宋体" w:hAnsi="宋体" w:cs="宋体"/>
          <w:snapToGrid/>
          <w:kern w:val="2"/>
        </w:rPr>
        <w:t>5.3</w:t>
      </w:r>
      <w:r>
        <w:rPr>
          <w:rFonts w:hint="eastAsia" w:ascii="宋体" w:hAnsi="宋体" w:cs="宋体"/>
          <w:snapToGrid/>
          <w:kern w:val="2"/>
          <w:lang w:val="en-US" w:eastAsia="zh-CN"/>
        </w:rPr>
        <w:t xml:space="preserve"> </w:t>
      </w:r>
      <w:r>
        <w:rPr>
          <w:rFonts w:hint="eastAsia" w:ascii="宋体" w:hAnsi="宋体" w:cs="宋体"/>
          <w:snapToGrid/>
          <w:kern w:val="2"/>
        </w:rPr>
        <w:t>生产工艺及设备设施分析评价单元</w:t>
      </w:r>
      <w:bookmarkEnd w:id="525"/>
      <w:bookmarkEnd w:id="526"/>
      <w:bookmarkEnd w:id="527"/>
    </w:p>
    <w:p>
      <w:pPr>
        <w:pStyle w:val="5"/>
        <w:keepNext w:val="0"/>
        <w:keepLines w:val="0"/>
        <w:snapToGrid w:val="0"/>
        <w:spacing w:before="0" w:after="0" w:line="360" w:lineRule="auto"/>
        <w:rPr>
          <w:rFonts w:ascii="宋体" w:hAnsi="宋体" w:cs="宋体"/>
          <w:sz w:val="28"/>
          <w:szCs w:val="28"/>
        </w:rPr>
      </w:pPr>
      <w:bookmarkStart w:id="528" w:name="_Toc19128"/>
      <w:bookmarkStart w:id="529" w:name="_Toc12960"/>
      <w:bookmarkStart w:id="530" w:name="_Toc5535"/>
      <w:r>
        <w:rPr>
          <w:rFonts w:hint="eastAsia" w:ascii="宋体" w:hAnsi="宋体" w:cs="宋体"/>
          <w:sz w:val="28"/>
          <w:szCs w:val="28"/>
        </w:rPr>
        <w:t>5.3.1</w:t>
      </w:r>
      <w:r>
        <w:rPr>
          <w:rFonts w:hint="eastAsia" w:ascii="宋体" w:hAnsi="宋体" w:cs="宋体"/>
          <w:sz w:val="28"/>
          <w:szCs w:val="28"/>
          <w:lang w:val="en-US" w:eastAsia="zh-CN"/>
        </w:rPr>
        <w:t xml:space="preserve"> </w:t>
      </w:r>
      <w:r>
        <w:rPr>
          <w:rFonts w:hint="eastAsia" w:ascii="宋体" w:hAnsi="宋体" w:cs="宋体"/>
          <w:sz w:val="28"/>
          <w:szCs w:val="28"/>
        </w:rPr>
        <w:t>生产工艺及设备设施安全检查表</w:t>
      </w:r>
      <w:bookmarkEnd w:id="528"/>
      <w:bookmarkEnd w:id="529"/>
      <w:bookmarkEnd w:id="530"/>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本节主要依据《中华人民共和国安全生产法》、《生产过程安全卫生要求总则》（GB/T12801-2008）、《生产设备安全卫生设计总则》（GB5083-1999）、《机械工程建设项目职业安全卫生设计规范》（GB51155-2016）、</w:t>
      </w:r>
      <w:r>
        <w:rPr>
          <w:rFonts w:hint="eastAsia"/>
          <w:sz w:val="28"/>
          <w:szCs w:val="28"/>
        </w:rPr>
        <w:t>《机械电气安全机械电气设备第1部分通用技术条件》（GB/T5226.1-2019）、</w:t>
      </w:r>
      <w:r>
        <w:rPr>
          <w:rFonts w:hint="eastAsia"/>
          <w:snapToGrid w:val="0"/>
          <w:kern w:val="0"/>
          <w:sz w:val="28"/>
          <w:szCs w:val="28"/>
        </w:rPr>
        <w:t>、《机械电气安全机械电气设备第34部分：机床技术条件》（GBT5226.34-2020）、《机械电气安全机械电气设备第7部分工业机器人技术条件》（GBT5226.7-2020）、《机械安全 急停装置技术条件》（GB∕T 41349-2022）、《爆炸性环境 第1部分：设备 通用要求》（GBT3836.1-2021）、《机械制造企业安全生产标准化规范》（AQT7009-2013）《涂装作业安全规程 涂漆工艺安全及其通风净化》 （GB 6514-2008）</w:t>
      </w:r>
      <w:r>
        <w:rPr>
          <w:rFonts w:hint="eastAsia"/>
          <w:snapToGrid w:val="0"/>
          <w:kern w:val="0"/>
          <w:sz w:val="28"/>
          <w:szCs w:val="28"/>
          <w:lang w:eastAsia="zh-CN"/>
        </w:rPr>
        <w:t>、</w:t>
      </w:r>
      <w:r>
        <w:rPr>
          <w:rFonts w:hint="eastAsia"/>
          <w:snapToGrid w:val="0"/>
          <w:kern w:val="0"/>
          <w:sz w:val="28"/>
          <w:szCs w:val="28"/>
        </w:rPr>
        <w:t>等法律、法规、标准和规范的要求，用安全检查表，对本项目生产工艺及设备设施进行分析评价，检查结果见表。</w:t>
      </w:r>
    </w:p>
    <w:p>
      <w:pPr>
        <w:snapToGrid w:val="0"/>
        <w:spacing w:line="360" w:lineRule="auto"/>
        <w:jc w:val="center"/>
        <w:rPr>
          <w:rFonts w:ascii="宋体" w:hAnsi="宋体"/>
          <w:sz w:val="24"/>
        </w:rPr>
      </w:pPr>
      <w:r>
        <w:rPr>
          <w:rFonts w:hint="eastAsia" w:ascii="宋体" w:hAnsi="宋体"/>
          <w:sz w:val="24"/>
        </w:rPr>
        <w:t>表5.3生产工艺及设备设施安全检查表</w:t>
      </w:r>
    </w:p>
    <w:tbl>
      <w:tblPr>
        <w:tblStyle w:val="52"/>
        <w:tblW w:w="10038" w:type="dxa"/>
        <w:jc w:val="center"/>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54"/>
        <w:gridCol w:w="4254"/>
        <w:gridCol w:w="2149"/>
        <w:gridCol w:w="2425"/>
        <w:gridCol w:w="656"/>
      </w:tblGrid>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5" w:hRule="atLeast"/>
          <w:tblHeader/>
          <w:jc w:val="center"/>
        </w:trPr>
        <w:tc>
          <w:tcPr>
            <w:tcW w:w="554" w:type="dxa"/>
            <w:tcBorders>
              <w:tl2br w:val="nil"/>
              <w:tr2bl w:val="nil"/>
            </w:tcBorders>
            <w:noWrap/>
            <w:tcMar>
              <w:left w:w="28" w:type="dxa"/>
              <w:right w:w="28" w:type="dxa"/>
            </w:tcMar>
            <w:vAlign w:val="center"/>
          </w:tcPr>
          <w:p>
            <w:pPr>
              <w:adjustRightInd w:val="0"/>
              <w:snapToGrid w:val="0"/>
              <w:jc w:val="center"/>
              <w:rPr>
                <w:rFonts w:ascii="宋体" w:hAnsi="宋体" w:cs="宋体"/>
                <w:b/>
                <w:szCs w:val="21"/>
              </w:rPr>
            </w:pPr>
            <w:r>
              <w:rPr>
                <w:rFonts w:hint="eastAsia" w:ascii="宋体" w:hAnsi="宋体" w:cs="宋体"/>
                <w:b/>
                <w:szCs w:val="21"/>
              </w:rPr>
              <w:t>序号</w:t>
            </w:r>
          </w:p>
        </w:tc>
        <w:tc>
          <w:tcPr>
            <w:tcW w:w="4254" w:type="dxa"/>
            <w:tcBorders>
              <w:tl2br w:val="nil"/>
              <w:tr2bl w:val="nil"/>
            </w:tcBorders>
            <w:noWrap/>
            <w:vAlign w:val="center"/>
          </w:tcPr>
          <w:p>
            <w:pPr>
              <w:adjustRightInd w:val="0"/>
              <w:snapToGrid w:val="0"/>
              <w:jc w:val="center"/>
              <w:rPr>
                <w:rFonts w:ascii="宋体" w:hAnsi="宋体" w:cs="宋体"/>
                <w:b/>
                <w:szCs w:val="21"/>
              </w:rPr>
            </w:pPr>
            <w:r>
              <w:rPr>
                <w:rFonts w:hint="eastAsia" w:ascii="宋体" w:hAnsi="宋体" w:cs="宋体"/>
                <w:b/>
                <w:szCs w:val="21"/>
              </w:rPr>
              <w:t>检查内容</w:t>
            </w:r>
          </w:p>
        </w:tc>
        <w:tc>
          <w:tcPr>
            <w:tcW w:w="2149" w:type="dxa"/>
            <w:tcBorders>
              <w:tl2br w:val="nil"/>
              <w:tr2bl w:val="nil"/>
            </w:tcBorders>
            <w:noWrap/>
            <w:vAlign w:val="center"/>
          </w:tcPr>
          <w:p>
            <w:pPr>
              <w:adjustRightInd w:val="0"/>
              <w:snapToGrid w:val="0"/>
              <w:jc w:val="center"/>
              <w:rPr>
                <w:rFonts w:ascii="宋体" w:hAnsi="宋体" w:cs="宋体"/>
                <w:b/>
                <w:szCs w:val="21"/>
              </w:rPr>
            </w:pPr>
            <w:r>
              <w:rPr>
                <w:rFonts w:hint="eastAsia" w:ascii="宋体" w:hAnsi="宋体" w:cs="宋体"/>
                <w:b/>
                <w:szCs w:val="21"/>
              </w:rPr>
              <w:t>依据标准</w:t>
            </w:r>
          </w:p>
        </w:tc>
        <w:tc>
          <w:tcPr>
            <w:tcW w:w="2425" w:type="dxa"/>
            <w:tcBorders>
              <w:tl2br w:val="nil"/>
              <w:tr2bl w:val="nil"/>
            </w:tcBorders>
            <w:noWrap/>
            <w:vAlign w:val="center"/>
          </w:tcPr>
          <w:p>
            <w:pPr>
              <w:adjustRightInd w:val="0"/>
              <w:snapToGrid w:val="0"/>
              <w:jc w:val="center"/>
              <w:rPr>
                <w:rFonts w:ascii="宋体" w:hAnsi="宋体" w:cs="宋体"/>
                <w:b/>
                <w:szCs w:val="21"/>
              </w:rPr>
            </w:pPr>
            <w:r>
              <w:rPr>
                <w:rFonts w:hint="eastAsia" w:ascii="宋体" w:hAnsi="宋体" w:cs="宋体"/>
                <w:b/>
                <w:szCs w:val="21"/>
              </w:rPr>
              <w:t>检查情况</w:t>
            </w:r>
          </w:p>
        </w:tc>
        <w:tc>
          <w:tcPr>
            <w:tcW w:w="656" w:type="dxa"/>
            <w:tcBorders>
              <w:tl2br w:val="nil"/>
              <w:tr2bl w:val="nil"/>
            </w:tcBorders>
            <w:noWrap/>
            <w:vAlign w:val="center"/>
          </w:tcPr>
          <w:p>
            <w:pPr>
              <w:adjustRightInd w:val="0"/>
              <w:snapToGrid w:val="0"/>
              <w:jc w:val="center"/>
              <w:rPr>
                <w:rFonts w:ascii="宋体" w:hAnsi="宋体" w:cs="宋体"/>
                <w:b/>
                <w:szCs w:val="21"/>
              </w:rPr>
            </w:pPr>
            <w:r>
              <w:rPr>
                <w:rFonts w:hint="eastAsia" w:ascii="宋体" w:hAnsi="宋体" w:cs="宋体"/>
                <w:b/>
                <w:szCs w:val="21"/>
              </w:rPr>
              <w:t>结论</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98"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utoSpaceDE w:val="0"/>
              <w:autoSpaceDN w:val="0"/>
              <w:adjustRightInd w:val="0"/>
              <w:snapToGrid w:val="0"/>
              <w:ind w:right="24"/>
              <w:jc w:val="left"/>
              <w:rPr>
                <w:rFonts w:ascii="宋体" w:hAnsi="宋体" w:cs="宋体"/>
                <w:color w:val="0000FF"/>
                <w:szCs w:val="21"/>
              </w:rPr>
            </w:pPr>
            <w:r>
              <w:rPr>
                <w:rFonts w:hint="eastAsia" w:ascii="宋体" w:hAnsi="宋体" w:cs="宋体"/>
                <w:color w:val="0000FF"/>
                <w:kern w:val="0"/>
                <w:szCs w:val="21"/>
              </w:rPr>
              <w:t>生产经营单位不得使用应当淘汰的危及生产安全的工艺、设备。</w:t>
            </w:r>
          </w:p>
        </w:tc>
        <w:tc>
          <w:tcPr>
            <w:tcW w:w="2149" w:type="dxa"/>
            <w:tcBorders>
              <w:tl2br w:val="nil"/>
              <w:tr2bl w:val="nil"/>
            </w:tcBorders>
            <w:noWrap/>
            <w:vAlign w:val="center"/>
          </w:tcPr>
          <w:p>
            <w:pPr>
              <w:snapToGrid w:val="0"/>
              <w:ind w:left="-7" w:leftChars="-31" w:hanging="58" w:hangingChars="28"/>
              <w:jc w:val="center"/>
              <w:rPr>
                <w:rFonts w:ascii="宋体" w:hAnsi="宋体" w:cs="宋体"/>
                <w:color w:val="0000FF"/>
                <w:szCs w:val="21"/>
              </w:rPr>
            </w:pPr>
            <w:r>
              <w:rPr>
                <w:rFonts w:hint="eastAsia" w:ascii="宋体" w:hAnsi="宋体" w:cs="宋体"/>
                <w:color w:val="0000FF"/>
                <w:szCs w:val="21"/>
              </w:rPr>
              <w:t>《中华人民共和国安全生产法》第三十八条</w:t>
            </w:r>
          </w:p>
        </w:tc>
        <w:tc>
          <w:tcPr>
            <w:tcW w:w="2425" w:type="dxa"/>
            <w:tcBorders>
              <w:tl2br w:val="nil"/>
              <w:tr2bl w:val="nil"/>
            </w:tcBorders>
            <w:noWrap/>
            <w:vAlign w:val="center"/>
          </w:tcPr>
          <w:p>
            <w:pPr>
              <w:snapToGrid w:val="0"/>
              <w:rPr>
                <w:rFonts w:ascii="宋体" w:hAnsi="宋体" w:cs="宋体"/>
                <w:color w:val="0000FF"/>
                <w:szCs w:val="21"/>
              </w:rPr>
            </w:pPr>
            <w:r>
              <w:rPr>
                <w:rFonts w:hint="eastAsia" w:ascii="宋体" w:hAnsi="宋体" w:cs="宋体"/>
                <w:color w:val="0000FF"/>
                <w:szCs w:val="21"/>
              </w:rPr>
              <w:t>本项目机加工、装配、涂装、试验等工艺均为成熟、可靠工艺。设备采购国内先进设备，部分设备采用进口设备。项目工艺可靠，与国内外同类建设项目进行对比，其工艺、技术和设备、设施属于国内比较先进和可靠的。</w:t>
            </w:r>
          </w:p>
        </w:tc>
        <w:tc>
          <w:tcPr>
            <w:tcW w:w="656" w:type="dxa"/>
            <w:tcBorders>
              <w:tl2br w:val="nil"/>
              <w:tr2bl w:val="nil"/>
            </w:tcBorders>
            <w:noWrap/>
            <w:vAlign w:val="center"/>
          </w:tcPr>
          <w:p>
            <w:pPr>
              <w:snapToGrid w:val="0"/>
              <w:jc w:val="center"/>
              <w:rPr>
                <w:rFonts w:ascii="宋体" w:hAnsi="宋体" w:cs="宋体"/>
                <w:color w:val="0000FF"/>
                <w:szCs w:val="21"/>
              </w:rPr>
            </w:pPr>
            <w:r>
              <w:rPr>
                <w:rFonts w:hint="eastAsia" w:ascii="宋体" w:hAnsi="宋体" w:cs="宋体"/>
                <w:color w:val="0000FF"/>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生产设备及其零部件，必须有足够的强度、刚度、稳定性和可靠性。在按规定条件制造、运输、贮存、安装和使用时，不得对人员造成危险。</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《生产设备安全卫生设计总则》（GB5083-1999）</w:t>
            </w:r>
          </w:p>
          <w:p>
            <w:pPr>
              <w:snapToGrid w:val="0"/>
              <w:jc w:val="center"/>
              <w:rPr>
                <w:rFonts w:ascii="宋体" w:hAnsi="宋体" w:cs="宋体"/>
                <w:szCs w:val="21"/>
              </w:rPr>
            </w:pPr>
            <w:r>
              <w:rPr>
                <w:rFonts w:hint="eastAsia" w:ascii="宋体" w:hAnsi="宋体" w:cs="宋体"/>
                <w:szCs w:val="21"/>
              </w:rPr>
              <w:t>第4.1条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本项目生产设备为成熟定型设备，有足够的强度、刚度、稳定性和可靠性。</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64"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设备正常生产和使用过程中，不应向工作场所和大气排放超过国家标准规定的有害物质，不应产生超过国家标准的噪声、振动、辐射和其他污染。对可能产生的有害因素，必须在设计上采取有效措施加以防护。</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第4.2条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本项目新增污水、废水排量及处理方式依托原有厂污水处理站。</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31"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84"/>
              <w:widowControl w:val="0"/>
              <w:snapToGrid w:val="0"/>
              <w:spacing w:after="0" w:line="240" w:lineRule="auto"/>
              <w:rPr>
                <w:rFonts w:ascii="宋体" w:hAnsi="宋体" w:cs="宋体"/>
                <w:sz w:val="21"/>
                <w:szCs w:val="21"/>
                <w:lang w:eastAsia="zh-CN"/>
              </w:rPr>
            </w:pPr>
            <w:r>
              <w:rPr>
                <w:rFonts w:hint="eastAsia" w:ascii="宋体" w:hAnsi="宋体" w:cs="宋体"/>
                <w:sz w:val="21"/>
                <w:szCs w:val="21"/>
                <w:lang w:eastAsia="zh-CN"/>
              </w:rPr>
              <w:t>设计生产设备，应体现人类工效学原则，最大限度地减轻生产设备对操作者造成的体力、脑力消耗以及心理紧张状况。</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第4.3条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生产设备的设计符合人类工效学原则。</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609"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84"/>
              <w:widowControl w:val="0"/>
              <w:snapToGrid w:val="0"/>
              <w:spacing w:after="0" w:line="240" w:lineRule="auto"/>
              <w:rPr>
                <w:rFonts w:ascii="宋体" w:hAnsi="宋体" w:cs="宋体"/>
                <w:sz w:val="21"/>
                <w:szCs w:val="21"/>
                <w:lang w:eastAsia="zh-CN"/>
              </w:rPr>
            </w:pPr>
            <w:r>
              <w:rPr>
                <w:rFonts w:hint="eastAsia" w:ascii="宋体" w:hAnsi="宋体" w:cs="宋体"/>
                <w:sz w:val="21"/>
                <w:szCs w:val="21"/>
                <w:lang w:eastAsia="zh-CN"/>
              </w:rPr>
              <w:t>设计生产设备，应通过下列途径保证其安全卫生：a.选择最佳设计方案并进行安全卫生评价；b.对可能产生的危险因素和有害因素采取有效防护措施；c.在运输、贮存、安装、使用和维修等技术文件中写明安全卫生要求。</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第4.4条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生产设备经有资质的单位设计安装，对可能产生的危险因素和有害因素采取有效防护措施。</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95"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84"/>
              <w:widowControl w:val="0"/>
              <w:snapToGrid w:val="0"/>
              <w:spacing w:after="0" w:line="240" w:lineRule="auto"/>
              <w:rPr>
                <w:rFonts w:ascii="宋体" w:hAnsi="宋体" w:cs="宋体"/>
                <w:sz w:val="21"/>
                <w:szCs w:val="21"/>
                <w:lang w:eastAsia="zh-CN"/>
              </w:rPr>
            </w:pPr>
            <w:r>
              <w:rPr>
                <w:rFonts w:hint="eastAsia" w:ascii="宋体" w:hAnsi="宋体" w:cs="宋体"/>
                <w:sz w:val="21"/>
                <w:szCs w:val="21"/>
                <w:lang w:eastAsia="zh-CN"/>
              </w:rPr>
              <w:t>生产设备的规定的整个使用期限内，匀应满足安全卫生要求。对于可能影响安全操作、控制的零部件、装置等应规定符合产品标准要求的可靠性指标。</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第4.6条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color w:val="000000" w:themeColor="text1"/>
                <w:szCs w:val="21"/>
                <w14:textFill>
                  <w14:solidFill>
                    <w14:schemeClr w14:val="tx1"/>
                  </w14:solidFill>
                </w14:textFill>
              </w:rPr>
              <w:t>制定了设备设施管理制度。</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88"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84"/>
              <w:widowControl w:val="0"/>
              <w:snapToGrid w:val="0"/>
              <w:spacing w:after="0" w:line="240" w:lineRule="auto"/>
              <w:rPr>
                <w:rFonts w:ascii="宋体" w:hAnsi="宋体" w:cs="宋体"/>
                <w:sz w:val="21"/>
                <w:szCs w:val="21"/>
                <w:lang w:eastAsia="zh-CN"/>
              </w:rPr>
            </w:pPr>
            <w:r>
              <w:rPr>
                <w:rFonts w:hint="eastAsia" w:ascii="宋体" w:hAnsi="宋体" w:cs="宋体"/>
                <w:sz w:val="21"/>
                <w:szCs w:val="21"/>
                <w:lang w:eastAsia="zh-CN"/>
              </w:rPr>
              <w:t>用于制造生产设备的材料，在规定使用期限内必须能承受在规定使用条件下可能出现的各种物理的、化学的和生物的作用。</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《生产设备安全卫生设计总则》（GB5083-1999）第5.2.1条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设备设施有产品合格证。</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37"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在正常使用环境下，对人有危害的材料不宜用来制造生产设备。若必须使用时，则应采取可靠的安全卫生技术措施以保障人员的安全和健康。</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第5.2.2条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不使用对人体有害的材料制造。</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1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color w:val="000000" w:themeColor="text1"/>
                <w:szCs w:val="21"/>
                <w14:textFill>
                  <w14:solidFill>
                    <w14:schemeClr w14:val="tx1"/>
                  </w14:solidFill>
                </w14:textFill>
              </w:rPr>
            </w:pPr>
          </w:p>
        </w:tc>
        <w:tc>
          <w:tcPr>
            <w:tcW w:w="4254" w:type="dxa"/>
            <w:tcBorders>
              <w:tl2br w:val="nil"/>
              <w:tr2bl w:val="nil"/>
            </w:tcBorders>
            <w:noWrap/>
            <w:vAlign w:val="center"/>
          </w:tcPr>
          <w:p>
            <w:pPr>
              <w:pStyle w:val="84"/>
              <w:widowControl w:val="0"/>
              <w:snapToGrid w:val="0"/>
              <w:spacing w:after="0" w:line="240" w:lineRule="auto"/>
              <w:jc w:val="both"/>
              <w:rPr>
                <w:rFonts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生产设备及其零部件的安全使用期限，应小于其材料在使用条件下的老化或疲劳期限。</w:t>
            </w:r>
          </w:p>
        </w:tc>
        <w:tc>
          <w:tcPr>
            <w:tcW w:w="2149" w:type="dxa"/>
            <w:tcBorders>
              <w:tl2br w:val="nil"/>
              <w:tr2bl w:val="nil"/>
            </w:tcBorders>
            <w:noWrap/>
            <w:vAlign w:val="center"/>
          </w:tcPr>
          <w:p>
            <w:pPr>
              <w:snapToGrid w:val="0"/>
              <w:ind w:left="-7" w:leftChars="-31" w:hanging="58" w:hangingChars="28"/>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《生产设备安全卫生设计总则》（GB5083-1999）</w:t>
            </w:r>
          </w:p>
          <w:p>
            <w:pPr>
              <w:snapToGrid w:val="0"/>
              <w:ind w:left="-7" w:leftChars="-31" w:hanging="58" w:hangingChars="28"/>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第5.2.3条</w:t>
            </w:r>
          </w:p>
        </w:tc>
        <w:tc>
          <w:tcPr>
            <w:tcW w:w="2425" w:type="dxa"/>
            <w:tcBorders>
              <w:tl2br w:val="nil"/>
              <w:tr2bl w:val="nil"/>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制定了设备设施管理制度。</w:t>
            </w:r>
          </w:p>
        </w:tc>
        <w:tc>
          <w:tcPr>
            <w:tcW w:w="656" w:type="dxa"/>
            <w:tcBorders>
              <w:tl2br w:val="nil"/>
              <w:tr2bl w:val="nil"/>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75"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84"/>
              <w:widowControl w:val="0"/>
              <w:snapToGrid w:val="0"/>
              <w:spacing w:after="0" w:line="240" w:lineRule="auto"/>
              <w:rPr>
                <w:rFonts w:ascii="宋体" w:hAnsi="宋体" w:cs="宋体"/>
                <w:sz w:val="21"/>
                <w:szCs w:val="21"/>
                <w:lang w:eastAsia="zh-CN"/>
              </w:rPr>
            </w:pPr>
            <w:r>
              <w:rPr>
                <w:rFonts w:hint="eastAsia" w:ascii="宋体" w:hAnsi="宋体" w:cs="宋体"/>
                <w:sz w:val="21"/>
                <w:szCs w:val="21"/>
                <w:lang w:eastAsia="zh-CN"/>
              </w:rPr>
              <w:t>禁止使用能与工作介质发生反应而造成危害（爆炸或生成有害物质等）的材料。</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第5.2.5条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kern w:val="0"/>
                <w:szCs w:val="21"/>
              </w:rPr>
              <w:t>未使用能与工作介质发生反应而造成危害（爆炸或生成有害物质等）的材料。</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37"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生产设备不应在振动、风载或其他可预见的外载荷作用下倾覆或产生允许范围外的运动。</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第5.3.1条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生产设备没有在上述条件下运动。</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8"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84"/>
              <w:widowControl w:val="0"/>
              <w:snapToGrid w:val="0"/>
              <w:spacing w:after="0" w:line="240" w:lineRule="auto"/>
              <w:jc w:val="both"/>
              <w:rPr>
                <w:rFonts w:ascii="宋体" w:hAnsi="宋体" w:cs="宋体"/>
                <w:sz w:val="21"/>
                <w:szCs w:val="21"/>
                <w:lang w:eastAsia="zh-CN"/>
              </w:rPr>
            </w:pPr>
            <w:r>
              <w:rPr>
                <w:rFonts w:hint="eastAsia" w:ascii="宋体" w:hAnsi="宋体" w:cs="宋体"/>
                <w:sz w:val="21"/>
                <w:szCs w:val="21"/>
                <w:lang w:eastAsia="zh-CN"/>
              </w:rPr>
              <w:t>生产设备若通过形体设计和自身的质量分布不能满足或不能完全满足稳定性要求是，则必须采取某种安全技术措施，以保证其具有可靠的稳定性。</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第5.3.2条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kern w:val="0"/>
                <w:szCs w:val="21"/>
              </w:rPr>
              <w:t>生产设备形体设计和自身的质量分布满足稳定性要求。</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85"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84"/>
              <w:widowControl w:val="0"/>
              <w:snapToGrid w:val="0"/>
              <w:spacing w:after="0" w:line="240" w:lineRule="auto"/>
              <w:rPr>
                <w:rFonts w:ascii="宋体" w:hAnsi="宋体" w:cs="宋体"/>
                <w:sz w:val="21"/>
                <w:szCs w:val="21"/>
                <w:lang w:eastAsia="zh-CN"/>
              </w:rPr>
            </w:pPr>
            <w:r>
              <w:rPr>
                <w:rFonts w:hint="eastAsia" w:ascii="宋体" w:hAnsi="宋体" w:cs="宋体"/>
                <w:sz w:val="21"/>
                <w:szCs w:val="21"/>
                <w:lang w:eastAsia="zh-CN"/>
              </w:rPr>
              <w:t>在不影响使用功能的情况下，生产设备可能被人员接触到部分及其零部件应设计成不带易伤人的锐角、利棱、凹凸不平的表面和较突出的部位。</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第5.4条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生产设备设计不带易伤人的锐角、利棱、凹凸不平的表面和较突出的部位。</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19"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信号和显示器应在安全、清晰、迅速的原则下，根据工艺流程、重要程度和使用频繁程度、配置在人员易看到和易听到的范围内。</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第5.5.2条</w:t>
            </w:r>
          </w:p>
        </w:tc>
        <w:tc>
          <w:tcPr>
            <w:tcW w:w="2425"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该项目各工艺过程控制信号及显示器易于辨识。</w:t>
            </w:r>
          </w:p>
        </w:tc>
        <w:tc>
          <w:tcPr>
            <w:tcW w:w="656" w:type="dxa"/>
            <w:tcBorders>
              <w:tl2br w:val="nil"/>
              <w:tr2bl w:val="nil"/>
            </w:tcBorders>
            <w:noWrap/>
            <w:vAlign w:val="center"/>
          </w:tcPr>
          <w:p>
            <w:pPr>
              <w:pStyle w:val="142"/>
              <w:autoSpaceDE w:val="0"/>
              <w:autoSpaceDN w:val="0"/>
              <w:snapToGrid w:val="0"/>
              <w:spacing w:before="0" w:after="0" w:line="240" w:lineRule="auto"/>
              <w:jc w:val="center"/>
              <w:rPr>
                <w:rFonts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95"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自动或半自动控制系统应设有必要的保护装置，以防止控制指令紊乱。同时，在每台设备上还应辅以能单独操纵的手动控制装置。</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第5.6.1.2条</w:t>
            </w:r>
          </w:p>
        </w:tc>
        <w:tc>
          <w:tcPr>
            <w:tcW w:w="2425" w:type="dxa"/>
            <w:tcBorders>
              <w:tl2br w:val="nil"/>
              <w:tr2bl w:val="nil"/>
            </w:tcBorders>
            <w:noWrap/>
            <w:vAlign w:val="center"/>
          </w:tcPr>
          <w:p>
            <w:pPr>
              <w:snapToGrid w:val="0"/>
              <w:rPr>
                <w:rFonts w:ascii="宋体" w:hAnsi="宋体" w:cs="宋体"/>
                <w:kern w:val="0"/>
                <w:szCs w:val="21"/>
              </w:rPr>
            </w:pPr>
            <w:r>
              <w:rPr>
                <w:rFonts w:hint="eastAsia" w:ascii="宋体" w:hAnsi="宋体" w:cs="宋体"/>
                <w:kern w:val="0"/>
                <w:szCs w:val="21"/>
              </w:rPr>
              <w:t>行车控制柜，机器人操作台设“紧急停机”按钮。</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34"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控制装置和作为安全技术措施的离合器、制动装置和联锁装置，应具有良好的可靠性并符合其产品标准规定的可靠性指标要求。</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第5.6.1.6条</w:t>
            </w:r>
          </w:p>
        </w:tc>
        <w:tc>
          <w:tcPr>
            <w:tcW w:w="2425"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该项目控制装置具有良好的满足其产品规定的可靠性要求。</w:t>
            </w:r>
          </w:p>
        </w:tc>
        <w:tc>
          <w:tcPr>
            <w:tcW w:w="656" w:type="dxa"/>
            <w:tcBorders>
              <w:tl2br w:val="nil"/>
              <w:tr2bl w:val="nil"/>
            </w:tcBorders>
            <w:noWrap/>
            <w:vAlign w:val="center"/>
          </w:tcPr>
          <w:p>
            <w:pPr>
              <w:pStyle w:val="142"/>
              <w:autoSpaceDE w:val="0"/>
              <w:autoSpaceDN w:val="0"/>
              <w:snapToGrid w:val="0"/>
              <w:spacing w:before="0" w:after="0" w:line="240" w:lineRule="auto"/>
              <w:jc w:val="center"/>
              <w:rPr>
                <w:rFonts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8"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生产设备上供人员作业的工作位置应安全可靠。其工作空间应保证操作人员的头、臂、手、腿、足在正常作业中有充分的活动余地。</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第5.7条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设备工作空间可以保证操作人员的头、臂、手、腿、足在正常作业中有充分的活动余地。</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94"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若操作人员进行操作、维护、调节的工作位置在坠落基准面2m以上时，则必须在生产设备上配置供站立的平台和防坠落的护栏、护板或安全圈等。</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第5.7.4条</w:t>
            </w:r>
          </w:p>
        </w:tc>
        <w:tc>
          <w:tcPr>
            <w:tcW w:w="2425" w:type="dxa"/>
            <w:tcBorders>
              <w:tl2br w:val="nil"/>
              <w:tr2bl w:val="nil"/>
            </w:tcBorders>
            <w:noWrap/>
            <w:vAlign w:val="center"/>
          </w:tcPr>
          <w:p>
            <w:pPr>
              <w:pStyle w:val="142"/>
              <w:autoSpaceDE w:val="0"/>
              <w:autoSpaceDN w:val="0"/>
              <w:snapToGrid w:val="0"/>
              <w:spacing w:before="0" w:after="0" w:line="240" w:lineRule="auto"/>
              <w:jc w:val="left"/>
              <w:rPr>
                <w:rFonts w:ascii="宋体" w:hAnsi="宋体" w:eastAsia="宋体" w:cs="宋体"/>
                <w:sz w:val="21"/>
                <w:szCs w:val="21"/>
              </w:rPr>
            </w:pPr>
            <w:r>
              <w:rPr>
                <w:rFonts w:hint="eastAsia" w:ascii="宋体" w:hAnsi="宋体" w:eastAsia="宋体" w:cs="宋体"/>
                <w:sz w:val="21"/>
                <w:szCs w:val="21"/>
              </w:rPr>
              <w:t>基准面2m以上高空作业设置供站立的平台和防坠落的护栏、护板或安全圈等。</w:t>
            </w:r>
          </w:p>
        </w:tc>
        <w:tc>
          <w:tcPr>
            <w:tcW w:w="656" w:type="dxa"/>
            <w:tcBorders>
              <w:tl2br w:val="nil"/>
              <w:tr2bl w:val="nil"/>
            </w:tcBorders>
            <w:noWrap/>
            <w:vAlign w:val="center"/>
          </w:tcPr>
          <w:p>
            <w:pPr>
              <w:pStyle w:val="142"/>
              <w:autoSpaceDE w:val="0"/>
              <w:autoSpaceDN w:val="0"/>
              <w:snapToGrid w:val="0"/>
              <w:spacing w:before="0" w:after="0" w:line="240" w:lineRule="auto"/>
              <w:jc w:val="center"/>
              <w:rPr>
                <w:rFonts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18"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生产设备必须保证操作点和操作区域有足够的照度，但要避免各种频闪效应和眩光现象。对可移动式设备，其灯光设计按有关专业标准执行，其他设备、照明设计按GB50034执行。</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第5.8.1条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该项目各作业场所均设置了照明设施，能保证操作的必须的照度。</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设计生产设备，必须考虑检查和维修的安全性、方便性。必要时，应随设备配备专用检查、维修工具或装置。</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第5.10.1条</w:t>
            </w:r>
          </w:p>
        </w:tc>
        <w:tc>
          <w:tcPr>
            <w:tcW w:w="2425"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kern w:val="2"/>
                <w:sz w:val="21"/>
                <w:szCs w:val="21"/>
              </w:rPr>
              <w:t>该项目设备的设计及安装均考虑了检查和维修的安全性、方便性，配备了专用的检查、维修工具。</w:t>
            </w:r>
          </w:p>
        </w:tc>
        <w:tc>
          <w:tcPr>
            <w:tcW w:w="656" w:type="dxa"/>
            <w:tcBorders>
              <w:tl2br w:val="nil"/>
              <w:tr2bl w:val="nil"/>
            </w:tcBorders>
            <w:noWrap/>
            <w:vAlign w:val="center"/>
          </w:tcPr>
          <w:p>
            <w:pPr>
              <w:pStyle w:val="142"/>
              <w:autoSpaceDE w:val="0"/>
              <w:autoSpaceDN w:val="0"/>
              <w:snapToGrid w:val="0"/>
              <w:spacing w:before="0" w:after="0" w:line="240" w:lineRule="auto"/>
              <w:jc w:val="center"/>
              <w:rPr>
                <w:rFonts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1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以操作人员的操作位置所在平面为基准，凡高度在2m之内的所有传动带、转轴、传动链、联轴节、带轮、齿轮、飞轮、链轮、电锯等外露危险零部件及危险部位，都必须设置安全防护装置。</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第6.1.6条</w:t>
            </w:r>
          </w:p>
        </w:tc>
        <w:tc>
          <w:tcPr>
            <w:tcW w:w="2425"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泵体等转动部位设置安全防护罩。</w:t>
            </w:r>
          </w:p>
        </w:tc>
        <w:tc>
          <w:tcPr>
            <w:tcW w:w="656" w:type="dxa"/>
            <w:tcBorders>
              <w:tl2br w:val="nil"/>
              <w:tr2bl w:val="nil"/>
            </w:tcBorders>
            <w:noWrap/>
            <w:vAlign w:val="center"/>
          </w:tcPr>
          <w:p>
            <w:pPr>
              <w:pStyle w:val="142"/>
              <w:autoSpaceDE w:val="0"/>
              <w:autoSpaceDN w:val="0"/>
              <w:snapToGrid w:val="0"/>
              <w:spacing w:before="0" w:after="0" w:line="240" w:lineRule="auto"/>
              <w:jc w:val="center"/>
              <w:rPr>
                <w:rFonts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2"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凡工艺过程中能产生粉尘、有害气体和其他毒物的生产设备，应尽量采用自动加料、自动卸料和密闭装置，并必须设置吸收、净化、排放装置或能与净化、排放系统联接的接口，以保证工作场所和排放的有害物浓度符合国家标准规定。</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第6.7.1条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生产区域通风良好。</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683"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在使用过程中有可能遭受雷击的生产设备，必须采取适当的防护措施，以使雷击时产生的电荷被安全、迅速导入大地。</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第6.10条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构、建筑物设防雷接地。202</w:t>
            </w:r>
            <w:r>
              <w:rPr>
                <w:rFonts w:hint="eastAsia" w:ascii="宋体" w:hAnsi="宋体" w:cs="宋体"/>
                <w:szCs w:val="21"/>
                <w:lang w:val="en-US" w:eastAsia="zh-CN"/>
              </w:rPr>
              <w:t>3</w:t>
            </w:r>
            <w:r>
              <w:rPr>
                <w:rFonts w:hint="eastAsia" w:ascii="宋体" w:hAnsi="宋体" w:cs="宋体"/>
                <w:szCs w:val="21"/>
              </w:rPr>
              <w:t>年6月2</w:t>
            </w:r>
            <w:r>
              <w:rPr>
                <w:rFonts w:hint="eastAsia" w:ascii="宋体" w:hAnsi="宋体" w:cs="宋体"/>
                <w:szCs w:val="21"/>
                <w:lang w:val="en-US" w:eastAsia="zh-CN"/>
              </w:rPr>
              <w:t>3</w:t>
            </w:r>
            <w:r>
              <w:rPr>
                <w:rFonts w:hint="eastAsia" w:ascii="宋体" w:hAnsi="宋体" w:cs="宋体"/>
                <w:szCs w:val="21"/>
              </w:rPr>
              <w:t>日吉林省宇泰安全技术服务有限公司对防雷、接地设备进行了检测，并出具《防雷（静电）装置检测报告》</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37"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生产设备易发生危险的部位必须有安全标志。安全标志的图形、符号、文字、颜色等均必须符合GB2893、GB2894、GB6527.2、GB15052等标准规定。</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《生产设备安全卫生设计总则》（GB5083-1999）</w:t>
            </w:r>
          </w:p>
          <w:p>
            <w:pPr>
              <w:snapToGrid w:val="0"/>
              <w:ind w:left="-7" w:leftChars="-31" w:hanging="58" w:hangingChars="28"/>
              <w:jc w:val="center"/>
              <w:rPr>
                <w:rFonts w:ascii="宋体" w:hAnsi="宋体" w:cs="宋体"/>
                <w:szCs w:val="21"/>
              </w:rPr>
            </w:pPr>
            <w:r>
              <w:rPr>
                <w:rFonts w:hint="eastAsia" w:ascii="宋体" w:hAnsi="宋体" w:cs="宋体"/>
                <w:szCs w:val="21"/>
              </w:rPr>
              <w:t>第7.1条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设备设有中文标签。</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24"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生产厂房、仓库和各种构筑物的结构强度、耐火等级、通风、采光、照明等，均应按其使用特点和地区环境条件符合有关标准规定，应有抗震、防水、防漏、防风、防雪等措施。</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《生产过程安全卫生要求总则》（GB/T 12801-2008）</w:t>
            </w:r>
          </w:p>
          <w:p>
            <w:pPr>
              <w:snapToGrid w:val="0"/>
              <w:ind w:left="-7" w:leftChars="-31" w:hanging="58" w:hangingChars="28"/>
              <w:jc w:val="center"/>
              <w:rPr>
                <w:rFonts w:ascii="宋体" w:hAnsi="宋体" w:cs="宋体"/>
                <w:szCs w:val="21"/>
              </w:rPr>
            </w:pPr>
            <w:r>
              <w:rPr>
                <w:rFonts w:hint="eastAsia" w:ascii="宋体" w:hAnsi="宋体" w:cs="宋体"/>
                <w:szCs w:val="21"/>
              </w:rPr>
              <w:t>第5.4.1条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生产厂房、仓库和各种构筑物的结构强度、耐火等级、通风、采光、照明等，均按其使用特点和地区环境条件符合有关标准规定。</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建(构)筑物的通风换气条件，应保证作业环境空气中的危险和有害物质浓度不超过国家卫生标准和防爆规定。</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w:t>
            </w:r>
          </w:p>
          <w:p>
            <w:pPr>
              <w:snapToGrid w:val="0"/>
              <w:ind w:left="-7" w:leftChars="-31" w:hanging="58" w:hangingChars="28"/>
              <w:jc w:val="center"/>
              <w:rPr>
                <w:rFonts w:ascii="宋体" w:hAnsi="宋体" w:cs="宋体"/>
                <w:szCs w:val="21"/>
              </w:rPr>
            </w:pPr>
            <w:r>
              <w:rPr>
                <w:rFonts w:hint="eastAsia" w:ascii="宋体" w:hAnsi="宋体" w:cs="宋体"/>
                <w:szCs w:val="21"/>
              </w:rPr>
              <w:t>（GB/T 12801-2008）</w:t>
            </w:r>
          </w:p>
          <w:p>
            <w:pPr>
              <w:snapToGrid w:val="0"/>
              <w:ind w:left="-7" w:leftChars="-31" w:hanging="58" w:hangingChars="28"/>
              <w:jc w:val="center"/>
              <w:rPr>
                <w:rFonts w:ascii="宋体" w:hAnsi="宋体" w:cs="宋体"/>
                <w:szCs w:val="21"/>
              </w:rPr>
            </w:pPr>
            <w:r>
              <w:rPr>
                <w:rFonts w:hint="eastAsia" w:ascii="宋体" w:hAnsi="宋体" w:cs="宋体"/>
                <w:szCs w:val="21"/>
              </w:rPr>
              <w:t>第5.4.2条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建(构)筑物的通风换气条件，保证作业环境空气中的危险和有害物质浓度不超过国家卫生标准和防爆规定。</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3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生产、处理、贮存有极度和高度危害毒物的厂房和仓库，其墙壁、顶棚和地面均应光滑，便于清扫，必要时加设保护层及专门的清洗设施。</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w:t>
            </w:r>
          </w:p>
          <w:p>
            <w:pPr>
              <w:snapToGrid w:val="0"/>
              <w:ind w:left="-7" w:leftChars="-31" w:hanging="58" w:hangingChars="28"/>
              <w:jc w:val="center"/>
              <w:rPr>
                <w:rFonts w:ascii="宋体" w:hAnsi="宋体" w:cs="宋体"/>
                <w:szCs w:val="21"/>
              </w:rPr>
            </w:pPr>
            <w:r>
              <w:rPr>
                <w:rFonts w:hint="eastAsia" w:ascii="宋体" w:hAnsi="宋体" w:cs="宋体"/>
                <w:szCs w:val="21"/>
              </w:rPr>
              <w:t>（GB/T 12801-2008）</w:t>
            </w:r>
          </w:p>
          <w:p>
            <w:pPr>
              <w:snapToGrid w:val="0"/>
              <w:ind w:left="-7" w:leftChars="-31" w:hanging="58" w:hangingChars="28"/>
              <w:jc w:val="center"/>
              <w:rPr>
                <w:rFonts w:ascii="宋体" w:hAnsi="宋体" w:cs="宋体"/>
                <w:szCs w:val="21"/>
              </w:rPr>
            </w:pPr>
            <w:r>
              <w:rPr>
                <w:rFonts w:hint="eastAsia" w:ascii="宋体" w:hAnsi="宋体" w:cs="宋体"/>
                <w:szCs w:val="21"/>
              </w:rPr>
              <w:t>第5.4.4条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厂房和仓库，其墙壁、顶棚和地面均光滑，便于清扫。</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55"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危险性作业场所，必须设置安全通道；出入口不少于两个；门窗应向外开启。</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w:t>
            </w:r>
          </w:p>
          <w:p>
            <w:pPr>
              <w:snapToGrid w:val="0"/>
              <w:ind w:left="-7" w:leftChars="-31" w:hanging="58" w:hangingChars="28"/>
              <w:jc w:val="center"/>
              <w:rPr>
                <w:rFonts w:ascii="宋体" w:hAnsi="宋体" w:cs="宋体"/>
                <w:szCs w:val="21"/>
              </w:rPr>
            </w:pPr>
            <w:r>
              <w:rPr>
                <w:rFonts w:hint="eastAsia" w:ascii="宋体" w:hAnsi="宋体" w:cs="宋体"/>
                <w:szCs w:val="21"/>
              </w:rPr>
              <w:t>（GB/T 12801-2008）</w:t>
            </w:r>
          </w:p>
          <w:p>
            <w:pPr>
              <w:snapToGrid w:val="0"/>
              <w:ind w:left="-7" w:leftChars="-31" w:hanging="58" w:hangingChars="28"/>
              <w:jc w:val="center"/>
              <w:rPr>
                <w:rFonts w:ascii="宋体" w:hAnsi="宋体" w:cs="宋体"/>
                <w:szCs w:val="21"/>
              </w:rPr>
            </w:pPr>
            <w:r>
              <w:rPr>
                <w:rFonts w:hint="eastAsia" w:ascii="宋体" w:hAnsi="宋体" w:cs="宋体"/>
                <w:szCs w:val="21"/>
              </w:rPr>
              <w:t>第5.4.5条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危险性作业场所，设置安全通道；出入口不少于两个。</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9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utoSpaceDE w:val="0"/>
              <w:autoSpaceDN w:val="0"/>
              <w:snapToGrid w:val="0"/>
              <w:rPr>
                <w:rFonts w:ascii="宋体" w:hAnsi="宋体" w:cs="宋体"/>
                <w:szCs w:val="21"/>
              </w:rPr>
            </w:pPr>
            <w:r>
              <w:rPr>
                <w:rFonts w:hint="eastAsia" w:ascii="宋体" w:hAnsi="宋体" w:cs="宋体"/>
                <w:szCs w:val="21"/>
              </w:rPr>
              <w:t>应优先采用无毒和低毒的生产物料。若使用给人员带来危险和有害作用的生产物料时，则应采取相应的防护措施，并制订使用、处理、储存和运输的安全、卫生标准。</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《生产过程安全卫生要求总则》（GB/T12801-2008）</w:t>
            </w:r>
          </w:p>
          <w:p>
            <w:pPr>
              <w:snapToGrid w:val="0"/>
              <w:ind w:left="-7" w:leftChars="-31" w:hanging="58" w:hangingChars="28"/>
              <w:jc w:val="center"/>
              <w:rPr>
                <w:rFonts w:ascii="宋体" w:hAnsi="宋体" w:cs="宋体"/>
                <w:szCs w:val="21"/>
              </w:rPr>
            </w:pPr>
            <w:r>
              <w:rPr>
                <w:rFonts w:hint="eastAsia" w:ascii="宋体" w:hAnsi="宋体" w:cs="宋体"/>
                <w:szCs w:val="21"/>
              </w:rPr>
              <w:t>第5.5.1条</w:t>
            </w:r>
          </w:p>
        </w:tc>
        <w:tc>
          <w:tcPr>
            <w:tcW w:w="2425" w:type="dxa"/>
            <w:tcBorders>
              <w:tl2br w:val="nil"/>
              <w:tr2bl w:val="nil"/>
            </w:tcBorders>
            <w:noWrap/>
            <w:vAlign w:val="center"/>
          </w:tcPr>
          <w:p>
            <w:pPr>
              <w:autoSpaceDE w:val="0"/>
              <w:autoSpaceDN w:val="0"/>
              <w:snapToGrid w:val="0"/>
              <w:rPr>
                <w:rFonts w:ascii="宋体" w:hAnsi="宋体" w:cs="宋体"/>
                <w:szCs w:val="21"/>
              </w:rPr>
            </w:pPr>
            <w:r>
              <w:rPr>
                <w:rFonts w:hint="eastAsia" w:ascii="宋体" w:hAnsi="宋体" w:cs="宋体"/>
                <w:szCs w:val="21"/>
              </w:rPr>
              <w:t>该项目生产工艺成熟先进。</w:t>
            </w:r>
          </w:p>
        </w:tc>
        <w:tc>
          <w:tcPr>
            <w:tcW w:w="656" w:type="dxa"/>
            <w:tcBorders>
              <w:tl2br w:val="nil"/>
              <w:tr2bl w:val="nil"/>
            </w:tcBorders>
            <w:noWrap/>
            <w:vAlign w:val="center"/>
          </w:tcPr>
          <w:p>
            <w:pPr>
              <w:autoSpaceDE w:val="0"/>
              <w:autoSpaceDN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38"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kern w:val="2"/>
                <w:sz w:val="21"/>
                <w:szCs w:val="21"/>
              </w:rPr>
              <w:t>设备布置的原则：a. 便于操作和维护；b. 发生火灾或出现紧急情况时，便于人员撤离；c. 尽量避免生产装置之间危害因素的相互影响，减小对人员的综合作用；d. 布置具有潜在危险的设备时，应根据有关规定进行分散和隔离，并设置必要的提示、标志和警告信号；e. 对振动、爆炸敏感的设备，应进行隔离或设置屏蔽、防护墙、减振设施等；f. 设备的噪声超过有关标准规定时，应予以隔离。</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w:t>
            </w:r>
          </w:p>
          <w:p>
            <w:pPr>
              <w:snapToGrid w:val="0"/>
              <w:ind w:left="-7" w:leftChars="-31" w:hanging="58" w:hangingChars="28"/>
              <w:jc w:val="center"/>
              <w:rPr>
                <w:rFonts w:ascii="宋体" w:hAnsi="宋体" w:cs="宋体"/>
                <w:szCs w:val="21"/>
              </w:rPr>
            </w:pPr>
            <w:r>
              <w:rPr>
                <w:rFonts w:hint="eastAsia" w:ascii="宋体" w:hAnsi="宋体" w:cs="宋体"/>
                <w:szCs w:val="21"/>
              </w:rPr>
              <w:t>（GB/T12801-2008）第5.7.2条</w:t>
            </w:r>
          </w:p>
        </w:tc>
        <w:tc>
          <w:tcPr>
            <w:tcW w:w="2425" w:type="dxa"/>
            <w:tcBorders>
              <w:tl2br w:val="nil"/>
              <w:tr2bl w:val="nil"/>
            </w:tcBorders>
            <w:noWrap/>
            <w:vAlign w:val="center"/>
          </w:tcPr>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该项目设备均按相关要求规定进行布置，有足够的操作和检维修空间，便于操作和维护；</w:t>
            </w:r>
          </w:p>
          <w:p>
            <w:pPr>
              <w:pStyle w:val="142"/>
              <w:autoSpaceDE w:val="0"/>
              <w:autoSpaceDN w:val="0"/>
              <w:snapToGrid w:val="0"/>
              <w:spacing w:before="0" w:after="0" w:line="240" w:lineRule="auto"/>
              <w:rPr>
                <w:rFonts w:ascii="宋体" w:hAnsi="宋体" w:eastAsia="宋体" w:cs="宋体"/>
                <w:sz w:val="21"/>
                <w:szCs w:val="21"/>
              </w:rPr>
            </w:pPr>
            <w:r>
              <w:rPr>
                <w:rFonts w:hint="eastAsia" w:ascii="宋体" w:hAnsi="宋体" w:eastAsia="宋体" w:cs="宋体"/>
                <w:sz w:val="21"/>
                <w:szCs w:val="21"/>
              </w:rPr>
              <w:t>该项目各场所设有紧急出入口，发生火灾或出现紧急情况时人员能迅速撤离。</w:t>
            </w:r>
          </w:p>
        </w:tc>
        <w:tc>
          <w:tcPr>
            <w:tcW w:w="656" w:type="dxa"/>
            <w:tcBorders>
              <w:tl2br w:val="nil"/>
              <w:tr2bl w:val="nil"/>
            </w:tcBorders>
            <w:noWrap/>
            <w:vAlign w:val="center"/>
          </w:tcPr>
          <w:p>
            <w:pPr>
              <w:pStyle w:val="142"/>
              <w:autoSpaceDE w:val="0"/>
              <w:autoSpaceDN w:val="0"/>
              <w:snapToGrid w:val="0"/>
              <w:spacing w:before="0" w:after="0" w:line="240" w:lineRule="auto"/>
              <w:jc w:val="center"/>
              <w:rPr>
                <w:rFonts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99"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企业应按照GB11651和国家颁发的劳动防护用品配备标准和有关规定，为从业人员配备劳动防护用品。</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《生产过程安全卫生要求总则》（GB/T12801-2008）</w:t>
            </w:r>
          </w:p>
          <w:p>
            <w:pPr>
              <w:snapToGrid w:val="0"/>
              <w:ind w:left="-7" w:leftChars="-31" w:hanging="58" w:hangingChars="28"/>
              <w:jc w:val="center"/>
              <w:rPr>
                <w:rFonts w:ascii="宋体" w:hAnsi="宋体" w:cs="宋体"/>
                <w:szCs w:val="21"/>
              </w:rPr>
            </w:pPr>
            <w:r>
              <w:rPr>
                <w:rFonts w:hint="eastAsia" w:ascii="宋体" w:hAnsi="宋体" w:cs="宋体"/>
                <w:szCs w:val="21"/>
              </w:rPr>
              <w:t>第6.2.1条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为从业人员定期发放劳动防护用品。</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94"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具有火灾爆炸危险的生产过程，应综合考虑防火防爆措施和报警系统，合理选择和配置消防设施。</w:t>
            </w:r>
          </w:p>
        </w:tc>
        <w:tc>
          <w:tcPr>
            <w:tcW w:w="2149" w:type="dxa"/>
            <w:tcBorders>
              <w:tl2br w:val="nil"/>
              <w:tr2bl w:val="nil"/>
            </w:tcBorders>
            <w:noWrap/>
            <w:vAlign w:val="center"/>
          </w:tcPr>
          <w:p>
            <w:pPr>
              <w:snapToGrid w:val="0"/>
              <w:ind w:left="-7" w:leftChars="-31" w:hanging="58" w:hangingChars="28"/>
              <w:jc w:val="center"/>
              <w:rPr>
                <w:rFonts w:ascii="宋体" w:hAnsi="宋体" w:cs="宋体"/>
                <w:szCs w:val="21"/>
              </w:rPr>
            </w:pPr>
            <w:r>
              <w:rPr>
                <w:rFonts w:hint="eastAsia" w:ascii="宋体" w:hAnsi="宋体" w:cs="宋体"/>
                <w:szCs w:val="21"/>
              </w:rPr>
              <w:t>《生产过程安全卫生要求总则》（GB/T12801-2008）</w:t>
            </w:r>
          </w:p>
          <w:p>
            <w:pPr>
              <w:snapToGrid w:val="0"/>
              <w:ind w:left="-7" w:leftChars="-31" w:hanging="58" w:hangingChars="28"/>
              <w:jc w:val="center"/>
              <w:rPr>
                <w:rFonts w:ascii="宋体" w:hAnsi="宋体" w:cs="宋体"/>
                <w:szCs w:val="21"/>
              </w:rPr>
            </w:pPr>
            <w:r>
              <w:rPr>
                <w:rFonts w:hint="eastAsia" w:ascii="宋体" w:hAnsi="宋体" w:cs="宋体"/>
                <w:szCs w:val="21"/>
              </w:rPr>
              <w:t>第6.3.1条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生产厂房内设置有灭火器及消火栓等消防设施。</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79"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color w:val="0000FF"/>
                <w:szCs w:val="21"/>
              </w:rPr>
            </w:pPr>
          </w:p>
        </w:tc>
        <w:tc>
          <w:tcPr>
            <w:tcW w:w="4254" w:type="dxa"/>
            <w:tcBorders>
              <w:tl2br w:val="nil"/>
              <w:tr2bl w:val="nil"/>
            </w:tcBorders>
            <w:noWrap/>
            <w:vAlign w:val="center"/>
          </w:tcPr>
          <w:p>
            <w:pPr>
              <w:snapToGrid w:val="0"/>
              <w:rPr>
                <w:rFonts w:ascii="宋体" w:hAnsi="宋体" w:cs="宋体"/>
                <w:color w:val="0000FF"/>
                <w:szCs w:val="21"/>
              </w:rPr>
            </w:pPr>
            <w:r>
              <w:rPr>
                <w:rFonts w:hint="eastAsia" w:ascii="宋体" w:hAnsi="宋体" w:cs="宋体"/>
                <w:color w:val="0000FF"/>
                <w:szCs w:val="21"/>
              </w:rPr>
              <w:t>当经济合理时，生产工艺宜采用自动与半自动机床、数控机床、加工中心、机械化翻转装置、切屑清理机械化装置和自动线。</w:t>
            </w:r>
          </w:p>
        </w:tc>
        <w:tc>
          <w:tcPr>
            <w:tcW w:w="2149" w:type="dxa"/>
            <w:tcBorders>
              <w:tl2br w:val="nil"/>
              <w:tr2bl w:val="nil"/>
            </w:tcBorders>
            <w:noWrap/>
            <w:vAlign w:val="center"/>
          </w:tcPr>
          <w:p>
            <w:pPr>
              <w:snapToGrid w:val="0"/>
              <w:ind w:left="-7" w:leftChars="-31" w:hanging="58" w:hangingChars="28"/>
              <w:jc w:val="center"/>
              <w:rPr>
                <w:rFonts w:ascii="宋体" w:hAnsi="宋体" w:cs="宋体"/>
                <w:color w:val="0000FF"/>
                <w:szCs w:val="21"/>
              </w:rPr>
            </w:pPr>
            <w:r>
              <w:rPr>
                <w:rFonts w:hint="eastAsia" w:ascii="宋体" w:hAnsi="宋体" w:cs="宋体"/>
                <w:color w:val="0000FF"/>
                <w:szCs w:val="21"/>
              </w:rPr>
              <w:t>《机械工程建设项目职业安全卫生设计规范》（GB51155-2016）</w:t>
            </w:r>
          </w:p>
          <w:p>
            <w:pPr>
              <w:snapToGrid w:val="0"/>
              <w:ind w:left="-7" w:leftChars="-31" w:hanging="58" w:hangingChars="28"/>
              <w:jc w:val="center"/>
              <w:rPr>
                <w:rFonts w:ascii="宋体" w:hAnsi="宋体" w:cs="宋体"/>
                <w:color w:val="0000FF"/>
                <w:szCs w:val="21"/>
              </w:rPr>
            </w:pPr>
            <w:r>
              <w:rPr>
                <w:rFonts w:hint="eastAsia" w:ascii="宋体" w:hAnsi="宋体" w:cs="宋体"/>
                <w:color w:val="0000FF"/>
                <w:szCs w:val="21"/>
              </w:rPr>
              <w:t>第3.3.1条</w:t>
            </w:r>
          </w:p>
        </w:tc>
        <w:tc>
          <w:tcPr>
            <w:tcW w:w="2425" w:type="dxa"/>
            <w:tcBorders>
              <w:tl2br w:val="nil"/>
              <w:tr2bl w:val="nil"/>
            </w:tcBorders>
            <w:noWrap/>
            <w:vAlign w:val="center"/>
          </w:tcPr>
          <w:p>
            <w:pPr>
              <w:snapToGrid w:val="0"/>
              <w:rPr>
                <w:rFonts w:ascii="宋体" w:hAnsi="宋体" w:cs="宋体"/>
                <w:color w:val="0000FF"/>
                <w:szCs w:val="21"/>
              </w:rPr>
            </w:pPr>
            <w:r>
              <w:rPr>
                <w:rFonts w:hint="eastAsia" w:ascii="宋体" w:hAnsi="宋体" w:cs="宋体"/>
                <w:color w:val="0000FF"/>
                <w:szCs w:val="21"/>
              </w:rPr>
              <w:t>本项目</w:t>
            </w:r>
            <w:r>
              <w:rPr>
                <w:rFonts w:hint="eastAsia" w:ascii="宋体" w:hAnsi="宋体" w:cs="宋体"/>
                <w:color w:val="0000FF"/>
                <w:szCs w:val="21"/>
                <w:lang w:val="en-US" w:eastAsia="zh-CN"/>
              </w:rPr>
              <w:t>发动机缸体缸盖</w:t>
            </w:r>
            <w:r>
              <w:rPr>
                <w:rFonts w:hint="eastAsia" w:ascii="宋体" w:hAnsi="宋体" w:cs="宋体"/>
                <w:color w:val="0000FF"/>
                <w:szCs w:val="21"/>
              </w:rPr>
              <w:t>生产工艺采用自动与半自动机床、数控机床、加工中心、机械化翻转装置、切屑清理机械化装置和自动线。</w:t>
            </w:r>
          </w:p>
        </w:tc>
        <w:tc>
          <w:tcPr>
            <w:tcW w:w="656" w:type="dxa"/>
            <w:tcBorders>
              <w:tl2br w:val="nil"/>
              <w:tr2bl w:val="nil"/>
            </w:tcBorders>
            <w:noWrap/>
            <w:vAlign w:val="center"/>
          </w:tcPr>
          <w:p>
            <w:pPr>
              <w:snapToGrid w:val="0"/>
              <w:jc w:val="center"/>
              <w:rPr>
                <w:rFonts w:ascii="宋体" w:hAnsi="宋体" w:cs="宋体"/>
                <w:color w:val="0000FF"/>
                <w:szCs w:val="21"/>
              </w:rPr>
            </w:pPr>
            <w:r>
              <w:rPr>
                <w:rFonts w:hint="eastAsia" w:ascii="宋体" w:hAnsi="宋体" w:cs="宋体"/>
                <w:color w:val="0000FF"/>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53"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bookmarkStart w:id="531" w:name="_Toc27045"/>
          </w:p>
        </w:tc>
        <w:tc>
          <w:tcPr>
            <w:tcW w:w="4254" w:type="dxa"/>
            <w:tcBorders>
              <w:tl2br w:val="nil"/>
              <w:tr2bl w:val="nil"/>
            </w:tcBorders>
            <w:noWrap/>
            <w:vAlign w:val="center"/>
          </w:tcPr>
          <w:p>
            <w:pPr>
              <w:pStyle w:val="47"/>
              <w:widowControl w:val="0"/>
              <w:snapToGrid w:val="0"/>
              <w:spacing w:before="0" w:beforeAutospacing="0" w:after="0" w:afterAutospacing="0"/>
              <w:rPr>
                <w:rFonts w:cs="宋体"/>
                <w:kern w:val="2"/>
                <w:sz w:val="21"/>
                <w:szCs w:val="21"/>
              </w:rPr>
            </w:pPr>
            <w:r>
              <w:rPr>
                <w:rFonts w:hint="eastAsia" w:cs="宋体"/>
                <w:kern w:val="2"/>
                <w:sz w:val="21"/>
                <w:szCs w:val="21"/>
              </w:rPr>
              <w:t>电源切断开关的操作装置（例如：手柄）应置于电气设备的外壳表面。</w:t>
            </w:r>
          </w:p>
          <w:p>
            <w:pPr>
              <w:pStyle w:val="47"/>
              <w:widowControl w:val="0"/>
              <w:snapToGrid w:val="0"/>
              <w:spacing w:before="0" w:beforeAutospacing="0" w:after="0" w:afterAutospacing="0"/>
              <w:rPr>
                <w:rFonts w:cs="宋体"/>
                <w:kern w:val="2"/>
                <w:sz w:val="21"/>
                <w:szCs w:val="21"/>
              </w:rPr>
            </w:pPr>
            <w:r>
              <w:rPr>
                <w:rFonts w:hint="eastAsia" w:cs="宋体"/>
                <w:kern w:val="2"/>
                <w:sz w:val="21"/>
                <w:szCs w:val="21"/>
              </w:rPr>
              <w:t>例外：电动操作的开关设备不必在外壳的表面配备手柄，而是装有其他装置（例如：按钮），以从外壳外面打开电源切断开关装置。</w:t>
            </w:r>
          </w:p>
          <w:p>
            <w:pPr>
              <w:pStyle w:val="47"/>
              <w:widowControl w:val="0"/>
              <w:snapToGrid w:val="0"/>
              <w:spacing w:before="0" w:beforeAutospacing="0" w:after="0" w:afterAutospacing="0"/>
              <w:rPr>
                <w:rFonts w:cs="宋体"/>
                <w:kern w:val="2"/>
                <w:sz w:val="21"/>
                <w:szCs w:val="21"/>
              </w:rPr>
            </w:pPr>
            <w:r>
              <w:rPr>
                <w:rFonts w:hint="eastAsia" w:cs="宋体"/>
                <w:kern w:val="2"/>
                <w:sz w:val="21"/>
                <w:szCs w:val="21"/>
              </w:rPr>
              <w:t>电源切断开关的操作装置应容易接近，应安装在维修站台以上0.6m～1.9m间。上限值宜为1.7m。</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《机械电气安全机械电气设备第1部分通用技术条件》（GB/T5226.1-2019）5.3.4</w:t>
            </w:r>
          </w:p>
        </w:tc>
        <w:tc>
          <w:tcPr>
            <w:tcW w:w="2425" w:type="dxa"/>
            <w:tcBorders>
              <w:tl2br w:val="nil"/>
              <w:tr2bl w:val="nil"/>
            </w:tcBorders>
            <w:noWrap/>
            <w:vAlign w:val="center"/>
          </w:tcPr>
          <w:p>
            <w:pPr>
              <w:pStyle w:val="47"/>
              <w:widowControl w:val="0"/>
              <w:snapToGrid w:val="0"/>
              <w:spacing w:before="0" w:beforeAutospacing="0" w:after="0" w:afterAutospacing="0"/>
              <w:rPr>
                <w:rFonts w:cs="宋体"/>
                <w:kern w:val="2"/>
                <w:sz w:val="21"/>
                <w:szCs w:val="21"/>
              </w:rPr>
            </w:pPr>
            <w:r>
              <w:rPr>
                <w:rFonts w:hint="eastAsia" w:cs="宋体"/>
                <w:kern w:val="2"/>
                <w:sz w:val="21"/>
                <w:szCs w:val="21"/>
              </w:rPr>
              <w:t>电源切断开关的操作装置置于电气设备的外壳表面。电源切断开关的操作装置易接近。</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机械或机械部件的起动可能发生危险的场合（如维修期间）应配备防止意外起动的去除动力装置，这些装置应方便、适用，安装位置合适并易于识别他们的功能和用途。当这些装置的功能和用途指示不明显时（例如：依他们的位置），应标记指示这些装置去除动力的程度。</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《机械电气安全机械电气设备第1部分通用技术条件》（GB/T5226.1-2019）5.4</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机械或机械部件的起动可能发生危险的场合应配备防止意外起动的去除动力装置。</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74"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 xml:space="preserve">当电气设备要求断开和隔离时，应配备有效的电气设备或部件的断开（隔离）装置，这样的断开装置应满足以下条件： </w:t>
            </w:r>
          </w:p>
          <w:p>
            <w:pPr>
              <w:snapToGrid w:val="0"/>
              <w:rPr>
                <w:rFonts w:ascii="宋体" w:hAnsi="宋体" w:cs="宋体"/>
                <w:szCs w:val="21"/>
              </w:rPr>
            </w:pPr>
            <w:r>
              <w:rPr>
                <w:rFonts w:hint="eastAsia" w:ascii="宋体" w:hAnsi="宋体" w:cs="宋体"/>
                <w:szCs w:val="21"/>
              </w:rPr>
              <w:t xml:space="preserve">对预期使用适当而方便；安排合适；对电气设备的电路或部件进行维修时可以快速识别。当它们的功能和用途指示不明显时（例如：依它们的位置），应标记指示这些装置隔离设备的程度。 </w:t>
            </w:r>
          </w:p>
          <w:p>
            <w:pPr>
              <w:snapToGrid w:val="0"/>
              <w:rPr>
                <w:rFonts w:ascii="宋体" w:hAnsi="宋体" w:cs="宋体"/>
                <w:szCs w:val="21"/>
              </w:rPr>
            </w:pPr>
            <w:r>
              <w:rPr>
                <w:rFonts w:hint="eastAsia" w:ascii="宋体" w:hAnsi="宋体" w:cs="宋体"/>
                <w:szCs w:val="21"/>
              </w:rPr>
              <w:t>电源切断开关（见</w:t>
            </w:r>
            <w:r>
              <w:rPr>
                <w:rFonts w:ascii="宋体" w:hAnsi="宋体" w:cs="宋体"/>
                <w:szCs w:val="21"/>
              </w:rPr>
              <w:t>5.3</w:t>
            </w:r>
            <w:r>
              <w:rPr>
                <w:rFonts w:hint="eastAsia" w:ascii="宋体" w:hAnsi="宋体" w:cs="宋体"/>
                <w:szCs w:val="21"/>
              </w:rPr>
              <w:t>）在有些情况下能满足切断功能的要求，而有些场合需要由公共汇流排、汇流线或感应电源系统向机械电气设备的单独工作部件或向多台机械馈电时，应为需要隔离开的每个部件或每台机械配备断开装置。</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《机械电气安全机械电气设备第1部分通用技术条件》（GB/T5226.1-2019）5.5</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电气设备断开和隔离时，配备有效的电气设备或部件的断开（隔离）装置。</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9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供给照明电路的所有未接地导线，应使用单独的过电流保护器件防护短路，与防止其他电路的防护器件分离开。</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《机械电气安全机械电气设备第1部分通用技术条件》（GB/T5226.1-2019）7.2.6</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供给照明电路的所有未接地导线，使用单独的过电流保护器件防护短路。</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color w:val="0000FF"/>
                <w:szCs w:val="21"/>
              </w:rPr>
            </w:pPr>
            <w:r>
              <w:rPr>
                <w:rFonts w:hint="eastAsia" w:ascii="宋体" w:hAnsi="宋体" w:cs="宋体"/>
                <w:color w:val="0000FF"/>
                <w:szCs w:val="21"/>
              </w:rPr>
              <w:t>当要求降低危险情况出现的可能性时，应提供安全功能或保护措施</w:t>
            </w:r>
            <w:r>
              <w:rPr>
                <w:rFonts w:ascii="宋体" w:hAnsi="宋体" w:cs="宋体"/>
                <w:color w:val="0000FF"/>
                <w:szCs w:val="21"/>
              </w:rPr>
              <w:t>[</w:t>
            </w:r>
            <w:r>
              <w:rPr>
                <w:rFonts w:hint="eastAsia" w:ascii="宋体" w:hAnsi="宋体" w:cs="宋体"/>
                <w:color w:val="0000FF"/>
                <w:szCs w:val="21"/>
              </w:rPr>
              <w:t xml:space="preserve">例如 ：联锁（见 </w:t>
            </w:r>
            <w:r>
              <w:rPr>
                <w:rFonts w:ascii="宋体" w:hAnsi="宋体" w:cs="宋体"/>
                <w:color w:val="0000FF"/>
                <w:szCs w:val="21"/>
              </w:rPr>
              <w:t>9.3)</w:t>
            </w:r>
            <w:r>
              <w:rPr>
                <w:rFonts w:hint="eastAsia" w:ascii="宋体" w:hAnsi="宋体" w:cs="宋体"/>
                <w:color w:val="0000FF"/>
                <w:szCs w:val="21"/>
              </w:rPr>
              <w:t>]。</w:t>
            </w:r>
          </w:p>
          <w:p>
            <w:pPr>
              <w:snapToGrid w:val="0"/>
              <w:rPr>
                <w:rFonts w:ascii="宋体" w:hAnsi="宋体" w:cs="宋体"/>
                <w:color w:val="0000FF"/>
                <w:szCs w:val="21"/>
              </w:rPr>
            </w:pPr>
            <w:r>
              <w:rPr>
                <w:rFonts w:hint="eastAsia" w:ascii="宋体" w:hAnsi="宋体" w:cs="宋体"/>
                <w:color w:val="0000FF"/>
                <w:szCs w:val="21"/>
              </w:rPr>
              <w:t>当一台机械有多个控制站时，应提供揹施以确保来自不同控制站的起动命令不会导致危险情况发生。</w:t>
            </w:r>
          </w:p>
        </w:tc>
        <w:tc>
          <w:tcPr>
            <w:tcW w:w="2149" w:type="dxa"/>
            <w:tcBorders>
              <w:tl2br w:val="nil"/>
              <w:tr2bl w:val="nil"/>
            </w:tcBorders>
            <w:noWrap/>
            <w:vAlign w:val="center"/>
          </w:tcPr>
          <w:p>
            <w:pPr>
              <w:snapToGrid w:val="0"/>
              <w:jc w:val="center"/>
              <w:rPr>
                <w:rFonts w:ascii="宋体" w:hAnsi="宋体" w:cs="宋体"/>
                <w:color w:val="0000FF"/>
                <w:szCs w:val="21"/>
              </w:rPr>
            </w:pPr>
            <w:r>
              <w:rPr>
                <w:rFonts w:hint="eastAsia" w:ascii="宋体" w:hAnsi="宋体" w:cs="宋体"/>
                <w:color w:val="0000FF"/>
                <w:szCs w:val="21"/>
              </w:rPr>
              <w:t>《机械电气安全机械电气设备第1部分通用技术条件》（GB/T5226.1-2019）9.2.3.1</w:t>
            </w:r>
          </w:p>
        </w:tc>
        <w:tc>
          <w:tcPr>
            <w:tcW w:w="2425" w:type="dxa"/>
            <w:tcBorders>
              <w:tl2br w:val="nil"/>
              <w:tr2bl w:val="nil"/>
            </w:tcBorders>
            <w:noWrap/>
            <w:vAlign w:val="center"/>
          </w:tcPr>
          <w:p>
            <w:pPr>
              <w:snapToGrid w:val="0"/>
              <w:rPr>
                <w:rFonts w:ascii="宋体" w:hAnsi="宋体" w:cs="宋体"/>
                <w:color w:val="0000FF"/>
                <w:szCs w:val="21"/>
              </w:rPr>
            </w:pPr>
            <w:r>
              <w:rPr>
                <w:rFonts w:hint="eastAsia" w:ascii="宋体" w:hAnsi="宋体" w:cs="宋体"/>
                <w:color w:val="0000FF"/>
                <w:szCs w:val="21"/>
                <w:lang w:val="en-US" w:eastAsia="zh-CN"/>
              </w:rPr>
              <w:t>厂房内毛坯上线及粗加工工序输送辊道设置紧急停车按钮</w:t>
            </w:r>
            <w:r>
              <w:rPr>
                <w:rFonts w:hint="eastAsia" w:ascii="宋体" w:hAnsi="宋体" w:cs="宋体"/>
                <w:color w:val="0000FF"/>
                <w:szCs w:val="21"/>
              </w:rPr>
              <w:t>。</w:t>
            </w:r>
          </w:p>
        </w:tc>
        <w:tc>
          <w:tcPr>
            <w:tcW w:w="656" w:type="dxa"/>
            <w:tcBorders>
              <w:tl2br w:val="nil"/>
              <w:tr2bl w:val="nil"/>
            </w:tcBorders>
            <w:noWrap/>
            <w:vAlign w:val="center"/>
          </w:tcPr>
          <w:p>
            <w:pPr>
              <w:snapToGrid w:val="0"/>
              <w:jc w:val="center"/>
              <w:rPr>
                <w:rFonts w:ascii="宋体" w:hAnsi="宋体" w:cs="宋体"/>
                <w:color w:val="0000FF"/>
                <w:szCs w:val="21"/>
              </w:rPr>
            </w:pPr>
            <w:r>
              <w:rPr>
                <w:rFonts w:hint="eastAsia" w:ascii="宋体" w:hAnsi="宋体" w:cs="宋体"/>
                <w:color w:val="0000FF"/>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紧急停止和紧急断开是辅助性保护措施，对于机械中的危险（如陷入、缠绕、电击或灼伤）这些措施不是降低风险的根本方法</w:t>
            </w:r>
            <w:r>
              <w:rPr>
                <w:rFonts w:ascii="宋体" w:hAnsi="宋体" w:cs="宋体"/>
                <w:szCs w:val="21"/>
              </w:rPr>
              <w:t>(</w:t>
            </w:r>
            <w:r>
              <w:rPr>
                <w:rFonts w:hint="eastAsia" w:ascii="宋体" w:hAnsi="宋体" w:cs="宋体"/>
                <w:szCs w:val="21"/>
              </w:rPr>
              <w:t xml:space="preserve">参见 </w:t>
            </w:r>
            <w:r>
              <w:rPr>
                <w:rFonts w:ascii="宋体" w:hAnsi="宋体" w:cs="宋体"/>
                <w:szCs w:val="21"/>
              </w:rPr>
              <w:t>ISO12100)</w:t>
            </w:r>
            <w:r>
              <w:rPr>
                <w:rFonts w:hint="eastAsia" w:ascii="宋体" w:hAnsi="宋体" w:cs="宋体"/>
                <w:szCs w:val="21"/>
              </w:rPr>
              <w:t>。</w:t>
            </w:r>
          </w:p>
          <w:p>
            <w:pPr>
              <w:snapToGrid w:val="0"/>
              <w:rPr>
                <w:rFonts w:ascii="宋体" w:hAnsi="宋体" w:cs="宋体"/>
                <w:szCs w:val="21"/>
              </w:rPr>
            </w:pPr>
            <w:r>
              <w:rPr>
                <w:rFonts w:ascii="宋体" w:hAnsi="宋体" w:cs="宋体"/>
                <w:szCs w:val="21"/>
              </w:rPr>
              <w:t xml:space="preserve">GB/T 5226 </w:t>
            </w:r>
            <w:r>
              <w:rPr>
                <w:rFonts w:hint="eastAsia" w:ascii="宋体" w:hAnsi="宋体" w:cs="宋体"/>
                <w:szCs w:val="21"/>
              </w:rPr>
              <w:t>的本部分规定紧急操作的紧急停止功能和紧急断开功能的技术要求，列于附录E。这两项功能均由单一的人为因素引发 。</w:t>
            </w:r>
          </w:p>
          <w:p>
            <w:pPr>
              <w:snapToGrid w:val="0"/>
              <w:rPr>
                <w:rFonts w:ascii="宋体" w:hAnsi="宋体" w:cs="宋体"/>
                <w:szCs w:val="21"/>
              </w:rPr>
            </w:pPr>
            <w:r>
              <w:rPr>
                <w:rFonts w:hint="eastAsia" w:ascii="宋体" w:hAnsi="宋体" w:cs="宋体"/>
                <w:szCs w:val="21"/>
              </w:rPr>
              <w:t xml:space="preserve">一旦紧急停止（见 </w:t>
            </w:r>
            <w:r>
              <w:rPr>
                <w:rFonts w:ascii="宋体" w:hAnsi="宋体" w:cs="宋体"/>
                <w:szCs w:val="21"/>
              </w:rPr>
              <w:t>10</w:t>
            </w:r>
            <w:r>
              <w:rPr>
                <w:rFonts w:hint="eastAsia" w:ascii="宋体" w:hAnsi="宋体" w:cs="宋体"/>
                <w:szCs w:val="21"/>
              </w:rPr>
              <w:t>.</w:t>
            </w:r>
            <w:r>
              <w:rPr>
                <w:rFonts w:ascii="宋体" w:hAnsi="宋体" w:cs="宋体"/>
                <w:szCs w:val="21"/>
              </w:rPr>
              <w:t>7</w:t>
            </w:r>
            <w:r>
              <w:rPr>
                <w:rFonts w:hint="eastAsia" w:ascii="宋体" w:hAnsi="宋体" w:cs="宋体"/>
                <w:szCs w:val="21"/>
              </w:rPr>
              <w:t xml:space="preserve">）或紧急断幵（见 </w:t>
            </w:r>
            <w:r>
              <w:rPr>
                <w:rFonts w:ascii="宋体" w:hAnsi="宋体" w:cs="宋体"/>
                <w:szCs w:val="21"/>
              </w:rPr>
              <w:t>10</w:t>
            </w:r>
            <w:r>
              <w:rPr>
                <w:rFonts w:hint="eastAsia" w:ascii="宋体" w:hAnsi="宋体" w:cs="宋体"/>
                <w:szCs w:val="21"/>
              </w:rPr>
              <w:t>.</w:t>
            </w:r>
            <w:r>
              <w:rPr>
                <w:rFonts w:ascii="宋体" w:hAnsi="宋体" w:cs="宋体"/>
                <w:szCs w:val="21"/>
              </w:rPr>
              <w:t>8)</w:t>
            </w:r>
            <w:r>
              <w:rPr>
                <w:rFonts w:hint="eastAsia" w:ascii="宋体" w:hAnsi="宋体" w:cs="宋体"/>
                <w:szCs w:val="21"/>
              </w:rPr>
              <w:t xml:space="preserve">致动机构的有效操作中止了后续的停止或关闭命令，该命令在其复位前一直有效。复位应只能在引发紧急操作命令的装置上用手动操作。命令的复位不应重新起动机械，而只是允许再起动。 </w:t>
            </w:r>
          </w:p>
          <w:p>
            <w:pPr>
              <w:snapToGrid w:val="0"/>
              <w:rPr>
                <w:rFonts w:ascii="宋体" w:hAnsi="宋体" w:cs="宋体"/>
                <w:szCs w:val="21"/>
              </w:rPr>
            </w:pPr>
            <w:r>
              <w:rPr>
                <w:rFonts w:hint="eastAsia" w:ascii="宋体" w:hAnsi="宋体" w:cs="宋体"/>
                <w:szCs w:val="21"/>
              </w:rPr>
              <w:t>所有紧急停止命令复位后才允许重新起动机械。所有紧急断开命令复位后，才允许向机械重新通电。</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《机械电气安全机械电气设备第1部分通用技术条件》（GB/T5226.1-2019）9.2.3.4.1</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所有紧急停止命令复位后才重新起动机械。所有紧急断开命令复位后，才向机械重新通电。</w:t>
            </w:r>
          </w:p>
        </w:tc>
        <w:tc>
          <w:tcPr>
            <w:tcW w:w="656"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75"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jc w:val="left"/>
              <w:rPr>
                <w:rFonts w:ascii="宋体" w:hAnsi="宋体" w:cs="宋体"/>
                <w:szCs w:val="21"/>
              </w:rPr>
            </w:pPr>
            <w:r>
              <w:rPr>
                <w:rFonts w:hint="eastAsia" w:ascii="宋体" w:hAnsi="宋体" w:cs="宋体"/>
                <w:szCs w:val="21"/>
              </w:rPr>
              <w:t>电气设备应具备保护人们免受电击的能力，</w:t>
            </w:r>
            <w:r>
              <w:rPr>
                <w:rFonts w:ascii="宋体" w:hAnsi="宋体" w:cs="宋体"/>
                <w:szCs w:val="21"/>
              </w:rPr>
              <w:t>分为基本防护和故障防护。电击的基本防护包括用外壳作防护、用绝缘物防护带电体、残余电压的防护、用遮拦的防护、置于伸臂以外的防护或用阻挡物的防护。故障防护包括出现触摸电压的防护（采用</w:t>
            </w:r>
            <w:r>
              <w:rPr>
                <w:rFonts w:hint="eastAsia" w:ascii="宋体" w:hAnsi="宋体" w:cs="宋体"/>
                <w:szCs w:val="21"/>
              </w:rPr>
              <w:t>Ⅱ</w:t>
            </w:r>
            <w:r>
              <w:rPr>
                <w:rFonts w:ascii="宋体" w:hAnsi="宋体" w:cs="宋体"/>
                <w:szCs w:val="21"/>
              </w:rPr>
              <w:t>类设备或等效绝缘、采用电气隔离）及用自动切断电源的防护。 另外，还可采用</w:t>
            </w:r>
            <w:r>
              <w:rPr>
                <w:rFonts w:hint="eastAsia" w:ascii="宋体" w:hAnsi="宋体" w:cs="宋体"/>
                <w:szCs w:val="21"/>
              </w:rPr>
              <w:t>PELV</w:t>
            </w:r>
            <w:r>
              <w:rPr>
                <w:rFonts w:ascii="宋体" w:hAnsi="宋体" w:cs="宋体"/>
                <w:szCs w:val="21"/>
              </w:rPr>
              <w:t>（保护特低电压）进行电击防护。以上所述电气设备的电击防护应符合</w:t>
            </w:r>
            <w:r>
              <w:rPr>
                <w:rFonts w:hint="eastAsia" w:ascii="宋体" w:hAnsi="宋体" w:cs="宋体"/>
                <w:szCs w:val="21"/>
              </w:rPr>
              <w:t>GB/T5226</w:t>
            </w:r>
            <w:r>
              <w:rPr>
                <w:rFonts w:ascii="宋体" w:hAnsi="宋体" w:cs="宋体"/>
                <w:szCs w:val="21"/>
              </w:rPr>
              <w:t>．</w:t>
            </w:r>
            <w:r>
              <w:rPr>
                <w:rFonts w:hint="eastAsia" w:ascii="宋体" w:hAnsi="宋体" w:cs="宋体"/>
                <w:szCs w:val="21"/>
              </w:rPr>
              <w:t>1-2019</w:t>
            </w:r>
            <w:r>
              <w:rPr>
                <w:rFonts w:ascii="宋体" w:hAnsi="宋体" w:cs="宋体"/>
                <w:szCs w:val="21"/>
              </w:rPr>
              <w:t>中第</w:t>
            </w:r>
            <w:r>
              <w:rPr>
                <w:rFonts w:hint="eastAsia" w:ascii="宋体" w:hAnsi="宋体" w:cs="宋体"/>
                <w:szCs w:val="21"/>
              </w:rPr>
              <w:t>6</w:t>
            </w:r>
            <w:r>
              <w:rPr>
                <w:rFonts w:ascii="宋体" w:hAnsi="宋体" w:cs="宋体"/>
                <w:szCs w:val="21"/>
              </w:rPr>
              <w:t>章的规定</w:t>
            </w:r>
            <w:r>
              <w:rPr>
                <w:rFonts w:hint="eastAsia" w:ascii="宋体" w:hAnsi="宋体" w:cs="宋体"/>
                <w:szCs w:val="21"/>
              </w:rPr>
              <w:t>。</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《机械电气安全机械电气设备第34部分：机床技术条件》（GBT5226.34-2020）第6条</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本项目涉及到电气设备，在设备选择上，选用有资质的厂家生产的合格产品，设备本体自带屏蔽、吸收等安全防护措施，且在生产过程中为自动化远距离操作。</w:t>
            </w:r>
          </w:p>
          <w:p>
            <w:pPr>
              <w:snapToGrid w:val="0"/>
              <w:rPr>
                <w:rFonts w:ascii="宋体" w:hAnsi="宋体" w:cs="宋体"/>
                <w:szCs w:val="21"/>
              </w:rPr>
            </w:pPr>
          </w:p>
        </w:tc>
        <w:tc>
          <w:tcPr>
            <w:tcW w:w="656" w:type="dxa"/>
            <w:tcBorders>
              <w:tl2br w:val="nil"/>
              <w:tr2bl w:val="nil"/>
            </w:tcBorders>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554" w:type="dxa"/>
            <w:tcBorders>
              <w:tl2br w:val="nil"/>
              <w:tr2bl w:val="nil"/>
            </w:tcBorders>
            <w:noWrap/>
            <w:tcMar>
              <w:left w:w="28" w:type="dxa"/>
              <w:right w:w="28" w:type="dxa"/>
            </w:tcMar>
            <w:vAlign w:val="center"/>
          </w:tcPr>
          <w:p>
            <w:pPr>
              <w:numPr>
                <w:ilvl w:val="0"/>
                <w:numId w:val="14"/>
              </w:numPr>
              <w:snapToGrid w:val="0"/>
              <w:jc w:val="right"/>
              <w:rPr>
                <w:rFonts w:ascii="宋体" w:hAnsi="宋体" w:cs="宋体"/>
                <w:szCs w:val="21"/>
              </w:rPr>
            </w:pPr>
          </w:p>
        </w:tc>
        <w:tc>
          <w:tcPr>
            <w:tcW w:w="4254" w:type="dxa"/>
            <w:tcBorders>
              <w:tl2br w:val="nil"/>
              <w:tr2bl w:val="nil"/>
            </w:tcBorders>
            <w:noWrap/>
            <w:vAlign w:val="center"/>
          </w:tcPr>
          <w:p>
            <w:pPr>
              <w:snapToGrid w:val="0"/>
              <w:jc w:val="left"/>
              <w:rPr>
                <w:rFonts w:ascii="宋体" w:hAnsi="宋体" w:cs="宋体"/>
                <w:szCs w:val="21"/>
              </w:rPr>
            </w:pPr>
            <w:r>
              <w:rPr>
                <w:rFonts w:hint="eastAsia" w:ascii="宋体" w:hAnsi="宋体" w:cs="宋体"/>
                <w:szCs w:val="21"/>
              </w:rPr>
              <w:t>电气设备／系统中每一个能独立启动工业机器人运行的电气控制站（控制台／控制面板）上，均应设置有手动的急停装置，其具体要求见GB11291.1-2011中的5.5.2</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《机械电气安全机械电气设备第7部分工业机器人技术条件》（GBT5226.7-2020）4.1.2.1</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工业机器人运行的电气控制站（控制台／控制面板）上，均应设置有手动的急停装置。</w:t>
            </w:r>
          </w:p>
        </w:tc>
        <w:tc>
          <w:tcPr>
            <w:tcW w:w="656" w:type="dxa"/>
            <w:tcBorders>
              <w:tl2br w:val="nil"/>
              <w:tr2bl w:val="nil"/>
            </w:tcBorders>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62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jc w:val="left"/>
              <w:rPr>
                <w:rFonts w:ascii="宋体" w:hAnsi="宋体" w:cs="宋体"/>
                <w:szCs w:val="21"/>
              </w:rPr>
            </w:pPr>
            <w:r>
              <w:rPr>
                <w:rFonts w:hint="eastAsia" w:ascii="宋体" w:hAnsi="宋体" w:cs="宋体"/>
                <w:szCs w:val="21"/>
              </w:rPr>
              <w:t>电气设备/系统应具有在原点位置校准前、禁止机器人除手动运行外的其他运动,以防止危险产生的安全措施。同时还应具有通过各种措施(包括信息等)对工业机器人进行故障诊断并进行相应维护的安全措施。</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《机械电气安全机械电气设备第7部分工业机器人技术条件》（GBT5226.7-2020）4.1.2.7</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定期对机器人进行维修、维护。</w:t>
            </w:r>
          </w:p>
        </w:tc>
        <w:tc>
          <w:tcPr>
            <w:tcW w:w="656" w:type="dxa"/>
            <w:tcBorders>
              <w:tl2br w:val="nil"/>
              <w:tr2bl w:val="nil"/>
            </w:tcBorders>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10"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当需要时,电气设备/系统应具有碰撞检测和处理安全措施,即当工具或工业机器人本体与周边设备发生碰撞时,不通过任何外部传感器,在瞬间检测并能使工业机器人停止,使碰撞造成的损害降低。在示教模式及再现模式下检测出碰撞时,工业机器人均应能紧急停止。</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《机械电气安全机械电气设备第7部分工业机器人技术条件》（GBT5226.7-2020）4.1.2.10</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机器人机械部件的形状或位置确保避免了人体各部位挤压的最小间距和防止上下肢触及危险区的安全距离。</w:t>
            </w:r>
          </w:p>
        </w:tc>
        <w:tc>
          <w:tcPr>
            <w:tcW w:w="656" w:type="dxa"/>
            <w:tcBorders>
              <w:tl2br w:val="nil"/>
              <w:tr2bl w:val="nil"/>
            </w:tcBorders>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snapToGrid w:val="0"/>
              <w:rPr>
                <w:rFonts w:ascii="宋体" w:hAnsi="宋体" w:cs="宋体"/>
                <w:szCs w:val="21"/>
              </w:rPr>
            </w:pPr>
            <w:r>
              <w:rPr>
                <w:rFonts w:hint="eastAsia" w:ascii="宋体" w:hAnsi="宋体" w:cs="宋体"/>
                <w:szCs w:val="21"/>
              </w:rPr>
              <w:t>电气设备/系统的每个引人电源应装电源切断开关；</w:t>
            </w:r>
          </w:p>
          <w:p>
            <w:pPr>
              <w:snapToGrid w:val="0"/>
              <w:rPr>
                <w:rFonts w:ascii="宋体" w:hAnsi="宋体" w:cs="宋体"/>
                <w:szCs w:val="21"/>
              </w:rPr>
            </w:pPr>
            <w:r>
              <w:rPr>
                <w:rFonts w:hint="eastAsia" w:ascii="宋体" w:hAnsi="宋体" w:cs="宋体"/>
                <w:szCs w:val="21"/>
              </w:rPr>
              <w:t>当配备两个或两个以上的电源切断开关时,为了防止出现危险情况,应采取联锁保护措施。</w:t>
            </w:r>
          </w:p>
        </w:tc>
        <w:tc>
          <w:tcPr>
            <w:tcW w:w="2149" w:type="dxa"/>
            <w:tcBorders>
              <w:tl2br w:val="nil"/>
              <w:tr2bl w:val="nil"/>
            </w:tcBorders>
            <w:noWrap/>
            <w:vAlign w:val="center"/>
          </w:tcPr>
          <w:p>
            <w:pPr>
              <w:snapToGrid w:val="0"/>
              <w:jc w:val="center"/>
              <w:rPr>
                <w:rFonts w:ascii="宋体" w:hAnsi="宋体" w:cs="宋体"/>
                <w:szCs w:val="21"/>
              </w:rPr>
            </w:pPr>
            <w:r>
              <w:rPr>
                <w:rFonts w:hint="eastAsia" w:ascii="宋体" w:hAnsi="宋体" w:cs="宋体"/>
                <w:szCs w:val="21"/>
              </w:rPr>
              <w:t>《机械电气安全机械电气设备第7部分工业机器人技术条件》（GBT5226.7-2020）5.3</w:t>
            </w:r>
          </w:p>
        </w:tc>
        <w:tc>
          <w:tcPr>
            <w:tcW w:w="2425" w:type="dxa"/>
            <w:tcBorders>
              <w:tl2br w:val="nil"/>
              <w:tr2bl w:val="nil"/>
            </w:tcBorders>
            <w:noWrap/>
            <w:vAlign w:val="center"/>
          </w:tcPr>
          <w:p>
            <w:pPr>
              <w:snapToGrid w:val="0"/>
              <w:rPr>
                <w:rFonts w:ascii="宋体" w:hAnsi="宋体" w:cs="宋体"/>
                <w:szCs w:val="21"/>
              </w:rPr>
            </w:pPr>
            <w:r>
              <w:rPr>
                <w:rFonts w:hint="eastAsia" w:ascii="宋体" w:hAnsi="宋体" w:cs="宋体"/>
                <w:szCs w:val="21"/>
              </w:rPr>
              <w:t>机器人的控制装置的机柜安装在安全防护空间外。机器人的安全防护采用多种，如固定式或连锁式防护装置，双手控制装置、现场传感安全防护装置等。</w:t>
            </w:r>
          </w:p>
        </w:tc>
        <w:tc>
          <w:tcPr>
            <w:tcW w:w="656" w:type="dxa"/>
            <w:tcBorders>
              <w:tl2br w:val="nil"/>
              <w:tr2bl w:val="nil"/>
            </w:tcBorders>
            <w:noWrap/>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71"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急停装置触发后至手动复位前应保持锁定</w:t>
            </w:r>
          </w:p>
          <w:p>
            <w:pPr>
              <w:adjustRightInd w:val="0"/>
              <w:snapToGrid w:val="0"/>
              <w:rPr>
                <w:rFonts w:ascii="宋体" w:hAnsi="宋体" w:cs="宋体"/>
                <w:szCs w:val="21"/>
              </w:rPr>
            </w:pPr>
            <w:r>
              <w:rPr>
                <w:rFonts w:hint="eastAsia" w:ascii="宋体" w:hAnsi="宋体" w:cs="宋体"/>
                <w:szCs w:val="21"/>
              </w:rPr>
              <w:t>振动或冲击不应引起锁门机构动作，进而导致处在断开位置的触点闭合。</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《机械安全 急停装置技术条件》（GB∕T 41349-2022）4.3.3</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急停装置触发后至手动复位前保持锁定振动或冲击。</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4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急停装置的触点单元和按钮应能可靠连接，避免因振动或冲击使触点单元松动或脱落。必要时，可采用辅助措施监控触点单元是否松动或脱落。</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《机械安全 急停装置技术条件》（GB∕T 41349-2022）4.3.4</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急停装置的触点单元和按钮可靠连接。</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急停装置的按钮应为红色，最接近按钮周围的衬托色应为黄色。</w:t>
            </w:r>
          </w:p>
          <w:p>
            <w:pPr>
              <w:adjustRightInd w:val="0"/>
              <w:snapToGrid w:val="0"/>
              <w:rPr>
                <w:rFonts w:ascii="宋体" w:hAnsi="宋体" w:cs="宋体"/>
                <w:szCs w:val="21"/>
              </w:rPr>
            </w:pPr>
            <w:r>
              <w:rPr>
                <w:rFonts w:hint="eastAsia" w:ascii="宋体" w:hAnsi="宋体" w:cs="宋体"/>
                <w:szCs w:val="21"/>
              </w:rPr>
              <w:t>按钮及背景都不宜加贴文字或符号。如果需要用符号声明，应使用图2给出的符号。如果需要转动按钮进行复位，应标识脱扣方向，可采用具有与按钮相同的颜色进行标识。</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《机械安全 急停装置技术条件》（GB∕T 41349-2022）4.3.5</w:t>
            </w:r>
          </w:p>
          <w:p>
            <w:pPr>
              <w:adjustRightInd w:val="0"/>
              <w:snapToGrid w:val="0"/>
              <w:jc w:val="center"/>
              <w:rPr>
                <w:rFonts w:ascii="宋体" w:hAnsi="宋体" w:cs="宋体"/>
                <w:szCs w:val="21"/>
              </w:rPr>
            </w:pP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急停装置的按钮为红色，最接近按钮周围的衬托色为黄色。</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急停装置的部件、装置和元件的选择、装配、连接和防护应使其在预期的工作条件和环境影响下能够正确地运行。</w:t>
            </w:r>
          </w:p>
          <w:p>
            <w:pPr>
              <w:adjustRightInd w:val="0"/>
              <w:snapToGrid w:val="0"/>
              <w:rPr>
                <w:rFonts w:ascii="宋体" w:hAnsi="宋体" w:cs="宋体"/>
                <w:szCs w:val="21"/>
              </w:rPr>
            </w:pPr>
            <w:r>
              <w:rPr>
                <w:rFonts w:hint="eastAsia" w:ascii="宋体" w:hAnsi="宋体" w:cs="宋体"/>
                <w:szCs w:val="21"/>
              </w:rPr>
              <w:t>急停装置在以下条件下应能正常工作</w:t>
            </w:r>
          </w:p>
          <w:p>
            <w:pPr>
              <w:adjustRightInd w:val="0"/>
              <w:snapToGrid w:val="0"/>
              <w:rPr>
                <w:rFonts w:ascii="宋体" w:hAnsi="宋体" w:cs="宋体"/>
                <w:szCs w:val="21"/>
              </w:rPr>
            </w:pPr>
            <w:r>
              <w:rPr>
                <w:rFonts w:hint="eastAsia" w:ascii="宋体" w:hAnsi="宋体" w:cs="宋体"/>
                <w:szCs w:val="21"/>
              </w:rPr>
              <w:t>——温度：-10℃～55℃；</w:t>
            </w:r>
          </w:p>
          <w:p>
            <w:pPr>
              <w:adjustRightInd w:val="0"/>
              <w:snapToGrid w:val="0"/>
              <w:rPr>
                <w:rFonts w:ascii="宋体" w:hAnsi="宋体" w:cs="宋体"/>
                <w:szCs w:val="21"/>
              </w:rPr>
            </w:pPr>
            <w:r>
              <w:rPr>
                <w:rFonts w:hint="eastAsia" w:ascii="宋体" w:hAnsi="宋体" w:cs="宋体"/>
                <w:szCs w:val="21"/>
              </w:rPr>
              <w:t>最高温度为40℃时，空气的相对湿度不超过50%，在较低的温度下可以允许有较高的相对湿度，例如20℃时达90%。对由于温度变化偶尔产生的凝露应采取特殊的措施。</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《机械安全 急停装置技术条件》（GB∕T 41349-2022）4.4</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急停装置的部件、装置和元件的选择、装配、连接和防护在预期的工作条件和环境影响下能够正确地运行。</w:t>
            </w:r>
          </w:p>
          <w:p>
            <w:pPr>
              <w:adjustRightInd w:val="0"/>
              <w:snapToGrid w:val="0"/>
              <w:rPr>
                <w:rFonts w:ascii="宋体" w:hAnsi="宋体" w:cs="宋体"/>
                <w:szCs w:val="21"/>
              </w:rPr>
            </w:pP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9"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在预定的使用过程中，急停装置应具备足够的抗振、抗冲击和抗跌落的性能，防止因振动、冲击和跌落引起安全功能丧失</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《机械安全 急停装置技术条件》（GB∕T 41349-2022）4.5</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急停装置具备足够的抗振、抗冲击和抗跌落的性能。</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3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急停装置的外壳防护等级应至少为IP65。</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《机械安全 急停装置技术条件》（GB∕T 41349-2022）4.6.3</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急停装置的外壳防护等级为IP65。</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5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设备可按某一特定的爆炸性气体环境进行试验，在这种情况下，相关信息应记录在防爆合格证中，并在设备上进行相应地标志。</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《爆炸性环境 第1部分：设备通用要求》（GBT3836.1-2021）4.5</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设备试验相关信息记录在防爆合格证中，并在设备上进行相应地标志。</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1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设备应承受 26.4 规定的试验 防止冲击的护板应只有用工具才能拆卸，并且在规定的抗冲击试验时应保持位置不变。</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《爆炸性环境 第1部分：设备通用要求》（GBT3836.1-2021）6.2</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防止冲击的护板只有用工具才能拆卸，并且在规定的抗冲击试验时保持位置不变。</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5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激光,灯具或其他非发散连续波光源激光、灯具或其他非发散连续波光源(如 LED灯具,手电筒、光纤发射器/接收器)的要求,在GB/T3836.22中规定</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《爆炸性环境 第1部分：设备通用要求》（GBT3836.1-2021）6.6.4</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试验间照明采用防爆LED灯具，满足规定。</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76" w:hRule="atLeast"/>
          <w:jc w:val="center"/>
        </w:trPr>
        <w:tc>
          <w:tcPr>
            <w:tcW w:w="554" w:type="dxa"/>
            <w:tcBorders>
              <w:tl2br w:val="nil"/>
              <w:tr2bl w:val="nil"/>
            </w:tcBorders>
            <w:noWrap/>
            <w:tcMar>
              <w:left w:w="28" w:type="dxa"/>
              <w:right w:w="28" w:type="dxa"/>
            </w:tcMar>
            <w:vAlign w:val="center"/>
          </w:tcPr>
          <w:p>
            <w:pPr>
              <w:numPr>
                <w:ilvl w:val="0"/>
                <w:numId w:val="14"/>
              </w:numPr>
              <w:adjustRightInd w:val="0"/>
              <w:snapToGrid w:val="0"/>
              <w:jc w:val="right"/>
              <w:rPr>
                <w:rFonts w:ascii="宋体" w:hAnsi="宋体" w:cs="宋体"/>
                <w:szCs w:val="21"/>
              </w:rPr>
            </w:pPr>
          </w:p>
        </w:tc>
        <w:tc>
          <w:tcPr>
            <w:tcW w:w="4254"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机床应设防止磨屑、切屑和冷却液飞溅的防护挡板。</w:t>
            </w:r>
          </w:p>
        </w:tc>
        <w:tc>
          <w:tcPr>
            <w:tcW w:w="2149"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《机械工程建设项目职业安全卫生设计规范》（GB51155-2016）第4.2.6条</w:t>
            </w:r>
          </w:p>
        </w:tc>
        <w:tc>
          <w:tcPr>
            <w:tcW w:w="2425" w:type="dxa"/>
            <w:tcBorders>
              <w:tl2br w:val="nil"/>
              <w:tr2bl w:val="nil"/>
            </w:tcBorders>
            <w:noWrap/>
            <w:vAlign w:val="center"/>
          </w:tcPr>
          <w:p>
            <w:pPr>
              <w:adjustRightInd w:val="0"/>
              <w:snapToGrid w:val="0"/>
              <w:rPr>
                <w:rFonts w:ascii="宋体" w:hAnsi="宋体" w:cs="宋体"/>
                <w:szCs w:val="21"/>
              </w:rPr>
            </w:pPr>
            <w:r>
              <w:rPr>
                <w:rFonts w:hint="eastAsia" w:ascii="宋体" w:hAnsi="宋体" w:cs="宋体"/>
                <w:szCs w:val="21"/>
              </w:rPr>
              <w:t>机床设置防护挡板。</w:t>
            </w:r>
          </w:p>
        </w:tc>
        <w:tc>
          <w:tcPr>
            <w:tcW w:w="656" w:type="dxa"/>
            <w:tcBorders>
              <w:tl2br w:val="nil"/>
              <w:tr2bl w:val="nil"/>
            </w:tcBorders>
            <w:noWrap/>
            <w:vAlign w:val="center"/>
          </w:tcPr>
          <w:p>
            <w:pPr>
              <w:adjustRightInd w:val="0"/>
              <w:snapToGrid w:val="0"/>
              <w:jc w:val="center"/>
              <w:rPr>
                <w:rFonts w:ascii="宋体" w:hAnsi="宋体" w:cs="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Pr>
          <w:p>
            <w:pPr>
              <w:numPr>
                <w:ilvl w:val="0"/>
                <w:numId w:val="14"/>
              </w:numPr>
              <w:adjustRightInd w:val="0"/>
              <w:snapToGrid w:val="0"/>
              <w:jc w:val="right"/>
              <w:rPr>
                <w:rFonts w:ascii="宋体" w:hAnsi="宋体" w:cs="宋体"/>
                <w:szCs w:val="21"/>
              </w:rPr>
            </w:pPr>
          </w:p>
        </w:tc>
        <w:tc>
          <w:tcPr>
            <w:tcW w:w="4254" w:type="dxa"/>
            <w:vAlign w:val="center"/>
          </w:tcPr>
          <w:p>
            <w:pPr>
              <w:adjustRightInd w:val="0"/>
              <w:snapToGrid w:val="0"/>
              <w:rPr>
                <w:rFonts w:ascii="宋体" w:hAnsi="宋体"/>
                <w:szCs w:val="21"/>
              </w:rPr>
            </w:pPr>
            <w:r>
              <w:rPr>
                <w:rFonts w:hint="eastAsia" w:ascii="宋体" w:hAnsi="宋体"/>
                <w:szCs w:val="21"/>
              </w:rPr>
              <w:t>磨削机械的安全防护，应符合下列规定：</w:t>
            </w:r>
          </w:p>
          <w:p>
            <w:pPr>
              <w:adjustRightInd w:val="0"/>
              <w:snapToGrid w:val="0"/>
              <w:rPr>
                <w:rFonts w:ascii="宋体" w:hAnsi="宋体"/>
                <w:szCs w:val="21"/>
              </w:rPr>
            </w:pPr>
            <w:r>
              <w:rPr>
                <w:rFonts w:hint="eastAsia" w:ascii="宋体" w:hAnsi="宋体"/>
                <w:szCs w:val="21"/>
              </w:rPr>
              <w:t>1.砂轮应设防护罩；</w:t>
            </w:r>
          </w:p>
          <w:p>
            <w:pPr>
              <w:adjustRightInd w:val="0"/>
              <w:snapToGrid w:val="0"/>
              <w:rPr>
                <w:rFonts w:ascii="宋体" w:hAnsi="宋体"/>
                <w:szCs w:val="21"/>
              </w:rPr>
            </w:pPr>
            <w:r>
              <w:rPr>
                <w:rFonts w:hint="eastAsia" w:ascii="宋体" w:hAnsi="宋体"/>
                <w:szCs w:val="21"/>
              </w:rPr>
              <w:t>2.手持磨削的磨削机械上应设有工件托架，工件托架靠近砂轮一侧的边棱上应无凹陷、缺角等缺陷；</w:t>
            </w:r>
          </w:p>
          <w:p>
            <w:pPr>
              <w:adjustRightInd w:val="0"/>
              <w:snapToGrid w:val="0"/>
              <w:rPr>
                <w:rFonts w:ascii="宋体" w:hAnsi="宋体"/>
                <w:szCs w:val="21"/>
              </w:rPr>
            </w:pPr>
            <w:r>
              <w:rPr>
                <w:rFonts w:hint="eastAsia" w:ascii="宋体" w:hAnsi="宋体"/>
                <w:szCs w:val="21"/>
              </w:rPr>
              <w:t>3.平面磨床工作台的两端或四周应设防护挡板；</w:t>
            </w:r>
          </w:p>
          <w:p>
            <w:pPr>
              <w:adjustRightInd w:val="0"/>
              <w:snapToGrid w:val="0"/>
              <w:rPr>
                <w:rFonts w:ascii="宋体" w:hAnsi="宋体"/>
                <w:szCs w:val="21"/>
              </w:rPr>
            </w:pPr>
            <w:r>
              <w:rPr>
                <w:rFonts w:hint="eastAsia" w:ascii="宋体" w:hAnsi="宋体"/>
                <w:szCs w:val="21"/>
              </w:rPr>
              <w:t>4.带有电动、气动或液压夹紧工件装置的磨削机械应设有联锁装置；</w:t>
            </w:r>
          </w:p>
          <w:p>
            <w:pPr>
              <w:adjustRightInd w:val="0"/>
              <w:snapToGrid w:val="0"/>
              <w:rPr>
                <w:rFonts w:ascii="宋体" w:hAnsi="宋体"/>
                <w:szCs w:val="21"/>
              </w:rPr>
            </w:pPr>
            <w:r>
              <w:rPr>
                <w:rFonts w:hint="eastAsia" w:ascii="宋体" w:hAnsi="宋体"/>
                <w:szCs w:val="21"/>
              </w:rPr>
              <w:t>5.砂轮、电机、皮带轮和工件头架等回转件应设防护罩；</w:t>
            </w:r>
          </w:p>
          <w:p>
            <w:pPr>
              <w:adjustRightInd w:val="0"/>
              <w:snapToGrid w:val="0"/>
              <w:rPr>
                <w:rFonts w:ascii="宋体" w:hAnsi="宋体"/>
                <w:szCs w:val="21"/>
              </w:rPr>
            </w:pPr>
            <w:r>
              <w:rPr>
                <w:rFonts w:hint="eastAsia" w:ascii="宋体" w:hAnsi="宋体"/>
                <w:szCs w:val="21"/>
              </w:rPr>
              <w:t>6.使用磨削液的磨削机械应设有防溅挡板。</w:t>
            </w:r>
          </w:p>
        </w:tc>
        <w:tc>
          <w:tcPr>
            <w:tcW w:w="2149" w:type="dxa"/>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《机械工程建设项目职业安全卫生设计规范》（GB51155-2016）第4.2.10条</w:t>
            </w:r>
          </w:p>
        </w:tc>
        <w:tc>
          <w:tcPr>
            <w:tcW w:w="2425" w:type="dxa"/>
            <w:vAlign w:val="center"/>
          </w:tcPr>
          <w:p>
            <w:pPr>
              <w:adjustRightInd w:val="0"/>
              <w:snapToGrid w:val="0"/>
              <w:rPr>
                <w:rFonts w:ascii="宋体" w:hAnsi="宋体"/>
                <w:szCs w:val="21"/>
              </w:rPr>
            </w:pPr>
            <w:r>
              <w:rPr>
                <w:rFonts w:hint="eastAsia" w:ascii="宋体" w:hAnsi="宋体"/>
                <w:szCs w:val="21"/>
              </w:rPr>
              <w:t>磨削机械的安全防护满足相关规定。</w:t>
            </w:r>
          </w:p>
        </w:tc>
        <w:tc>
          <w:tcPr>
            <w:tcW w:w="656" w:type="dxa"/>
            <w:vAlign w:val="center"/>
          </w:tcPr>
          <w:p>
            <w:pPr>
              <w:adjustRightInd w:val="0"/>
              <w:snapToGrid w:val="0"/>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Pr>
          <w:p>
            <w:pPr>
              <w:numPr>
                <w:ilvl w:val="0"/>
                <w:numId w:val="14"/>
              </w:numPr>
              <w:adjustRightInd w:val="0"/>
              <w:snapToGrid w:val="0"/>
              <w:jc w:val="right"/>
              <w:rPr>
                <w:rFonts w:ascii="宋体" w:hAnsi="宋体" w:cs="宋体"/>
                <w:szCs w:val="21"/>
              </w:rPr>
            </w:pPr>
          </w:p>
        </w:tc>
        <w:tc>
          <w:tcPr>
            <w:tcW w:w="4254" w:type="dxa"/>
            <w:vAlign w:val="center"/>
          </w:tcPr>
          <w:p>
            <w:pPr>
              <w:adjustRightInd w:val="0"/>
              <w:snapToGrid w:val="0"/>
              <w:rPr>
                <w:rFonts w:ascii="宋体" w:hAnsi="宋体"/>
                <w:szCs w:val="21"/>
              </w:rPr>
            </w:pPr>
            <w:r>
              <w:rPr>
                <w:rFonts w:hint="eastAsia" w:ascii="宋体" w:hAnsi="宋体"/>
                <w:szCs w:val="21"/>
              </w:rPr>
              <w:t>悬挂式输送机的安全防护，应符合下列规定：</w:t>
            </w:r>
          </w:p>
          <w:p>
            <w:pPr>
              <w:adjustRightInd w:val="0"/>
              <w:snapToGrid w:val="0"/>
              <w:rPr>
                <w:rFonts w:ascii="宋体" w:hAnsi="宋体"/>
                <w:szCs w:val="21"/>
              </w:rPr>
            </w:pPr>
            <w:r>
              <w:rPr>
                <w:rFonts w:hint="eastAsia" w:ascii="宋体" w:hAnsi="宋体"/>
                <w:szCs w:val="21"/>
              </w:rPr>
              <w:t>1.跨越通道和作业区的悬挂输送机，应设置护网或护板等安全防护装置；</w:t>
            </w:r>
          </w:p>
          <w:p>
            <w:pPr>
              <w:adjustRightInd w:val="0"/>
              <w:snapToGrid w:val="0"/>
              <w:rPr>
                <w:rFonts w:ascii="宋体" w:hAnsi="宋体"/>
                <w:szCs w:val="21"/>
              </w:rPr>
            </w:pPr>
            <w:r>
              <w:rPr>
                <w:rFonts w:hint="eastAsia" w:ascii="宋体" w:hAnsi="宋体"/>
                <w:szCs w:val="21"/>
              </w:rPr>
              <w:t>2.在轨道的上坡和下坡段，应安装捕捉器；</w:t>
            </w:r>
          </w:p>
          <w:p>
            <w:pPr>
              <w:adjustRightInd w:val="0"/>
              <w:snapToGrid w:val="0"/>
              <w:rPr>
                <w:rFonts w:ascii="宋体" w:hAnsi="宋体"/>
                <w:szCs w:val="21"/>
              </w:rPr>
            </w:pPr>
            <w:r>
              <w:rPr>
                <w:rFonts w:hint="eastAsia" w:ascii="宋体" w:hAnsi="宋体"/>
                <w:szCs w:val="21"/>
              </w:rPr>
              <w:t>3.悬挂式输送机穿越楼板时，孔口应设防护栏杆；</w:t>
            </w:r>
          </w:p>
          <w:p>
            <w:pPr>
              <w:adjustRightInd w:val="0"/>
              <w:snapToGrid w:val="0"/>
              <w:rPr>
                <w:rFonts w:ascii="宋体" w:hAnsi="宋体"/>
                <w:szCs w:val="21"/>
              </w:rPr>
            </w:pPr>
            <w:r>
              <w:rPr>
                <w:rFonts w:hint="eastAsia" w:ascii="宋体" w:hAnsi="宋体"/>
                <w:szCs w:val="21"/>
              </w:rPr>
              <w:t>4.在操作工位、升降段和线路转弯处，应安装紧急停车开关；</w:t>
            </w:r>
          </w:p>
          <w:p>
            <w:pPr>
              <w:adjustRightInd w:val="0"/>
              <w:snapToGrid w:val="0"/>
              <w:rPr>
                <w:rFonts w:ascii="宋体" w:hAnsi="宋体"/>
                <w:szCs w:val="21"/>
              </w:rPr>
            </w:pPr>
            <w:r>
              <w:rPr>
                <w:rFonts w:hint="eastAsia" w:ascii="宋体" w:hAnsi="宋体"/>
                <w:szCs w:val="21"/>
              </w:rPr>
              <w:t>5.在地面与2m高度之间悬挂输送机与工作人员易于触及的尖角处，应设置安全防护。</w:t>
            </w:r>
          </w:p>
        </w:tc>
        <w:tc>
          <w:tcPr>
            <w:tcW w:w="2149" w:type="dxa"/>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《机械工程建设项目职业安全卫生设计规范》（GB51155-2016）第4.2.12条</w:t>
            </w:r>
          </w:p>
        </w:tc>
        <w:tc>
          <w:tcPr>
            <w:tcW w:w="2425" w:type="dxa"/>
            <w:vAlign w:val="center"/>
          </w:tcPr>
          <w:p>
            <w:pPr>
              <w:adjustRightInd w:val="0"/>
              <w:snapToGrid w:val="0"/>
              <w:rPr>
                <w:rFonts w:ascii="宋体" w:hAnsi="宋体"/>
                <w:szCs w:val="21"/>
              </w:rPr>
            </w:pPr>
            <w:r>
              <w:rPr>
                <w:rFonts w:hint="eastAsia" w:ascii="宋体" w:hAnsi="宋体"/>
                <w:szCs w:val="21"/>
              </w:rPr>
              <w:t>涂装线发动机挂链输送安全防护满足相关规定。</w:t>
            </w:r>
          </w:p>
        </w:tc>
        <w:tc>
          <w:tcPr>
            <w:tcW w:w="656" w:type="dxa"/>
            <w:vAlign w:val="center"/>
          </w:tcPr>
          <w:p>
            <w:pPr>
              <w:adjustRightInd w:val="0"/>
              <w:snapToGrid w:val="0"/>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66" w:hRule="atLeast"/>
          <w:jc w:val="center"/>
        </w:trPr>
        <w:tc>
          <w:tcPr>
            <w:tcW w:w="554" w:type="dxa"/>
          </w:tcPr>
          <w:p>
            <w:pPr>
              <w:numPr>
                <w:ilvl w:val="0"/>
                <w:numId w:val="14"/>
              </w:numPr>
              <w:adjustRightInd w:val="0"/>
              <w:snapToGrid w:val="0"/>
              <w:jc w:val="right"/>
              <w:rPr>
                <w:rFonts w:ascii="宋体" w:hAnsi="宋体" w:cs="宋体"/>
                <w:szCs w:val="21"/>
              </w:rPr>
            </w:pPr>
          </w:p>
        </w:tc>
        <w:tc>
          <w:tcPr>
            <w:tcW w:w="4254" w:type="dxa"/>
            <w:vAlign w:val="center"/>
          </w:tcPr>
          <w:p>
            <w:pPr>
              <w:adjustRightInd w:val="0"/>
              <w:snapToGrid w:val="0"/>
              <w:rPr>
                <w:rFonts w:ascii="宋体" w:hAnsi="宋体"/>
                <w:szCs w:val="21"/>
              </w:rPr>
            </w:pPr>
            <w:r>
              <w:rPr>
                <w:rFonts w:hint="eastAsia" w:ascii="宋体" w:hAnsi="宋体"/>
                <w:szCs w:val="21"/>
              </w:rPr>
              <w:t>工业机器人的安全防护，应符合现行国家标准《工业机器人安全规范》GB 11291的有关规定。</w:t>
            </w:r>
          </w:p>
        </w:tc>
        <w:tc>
          <w:tcPr>
            <w:tcW w:w="2149" w:type="dxa"/>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《机械工程建设项目职业安全卫生设计规范》（GB51155-2016）第4.2.13条</w:t>
            </w:r>
          </w:p>
        </w:tc>
        <w:tc>
          <w:tcPr>
            <w:tcW w:w="2425" w:type="dxa"/>
            <w:vAlign w:val="center"/>
          </w:tcPr>
          <w:p>
            <w:pPr>
              <w:adjustRightInd w:val="0"/>
              <w:snapToGrid w:val="0"/>
              <w:rPr>
                <w:rFonts w:ascii="宋体" w:hAnsi="宋体"/>
                <w:szCs w:val="21"/>
              </w:rPr>
            </w:pPr>
            <w:r>
              <w:rPr>
                <w:rFonts w:hint="eastAsia" w:ascii="宋体" w:hAnsi="宋体"/>
                <w:szCs w:val="21"/>
              </w:rPr>
              <w:t>满足规定。</w:t>
            </w:r>
          </w:p>
        </w:tc>
        <w:tc>
          <w:tcPr>
            <w:tcW w:w="656" w:type="dxa"/>
            <w:vAlign w:val="center"/>
          </w:tcPr>
          <w:p>
            <w:pPr>
              <w:adjustRightInd w:val="0"/>
              <w:snapToGrid w:val="0"/>
              <w:rPr>
                <w:rFonts w:ascii="宋体" w:hAnsi="宋体"/>
                <w:szCs w:val="21"/>
              </w:rPr>
            </w:pPr>
            <w:r>
              <w:rPr>
                <w:rFonts w:hint="eastAsia" w:ascii="宋体" w:hAnsi="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Pr>
          <w:p>
            <w:pPr>
              <w:numPr>
                <w:ilvl w:val="0"/>
                <w:numId w:val="14"/>
              </w:numPr>
              <w:adjustRightInd w:val="0"/>
              <w:snapToGrid w:val="0"/>
              <w:jc w:val="right"/>
              <w:rPr>
                <w:rFonts w:ascii="宋体" w:hAnsi="宋体" w:cs="宋体"/>
                <w:szCs w:val="21"/>
              </w:rPr>
            </w:pPr>
          </w:p>
        </w:tc>
        <w:tc>
          <w:tcPr>
            <w:tcW w:w="4254" w:type="dxa"/>
            <w:vAlign w:val="center"/>
          </w:tcPr>
          <w:p>
            <w:pPr>
              <w:adjustRightInd w:val="0"/>
              <w:snapToGrid w:val="0"/>
              <w:rPr>
                <w:rFonts w:ascii="宋体" w:hAnsi="宋体" w:cs="宋体"/>
                <w:szCs w:val="21"/>
              </w:rPr>
            </w:pPr>
            <w:r>
              <w:rPr>
                <w:rFonts w:hint="eastAsia" w:ascii="宋体" w:hAnsi="宋体" w:cs="宋体"/>
                <w:szCs w:val="21"/>
              </w:rPr>
              <w:t>机械加工生产工艺宜采用自动与半自动机床、数控机床、加工中心、机械化翻转装置、切屑清理机械化装置和自动线。</w:t>
            </w:r>
          </w:p>
        </w:tc>
        <w:tc>
          <w:tcPr>
            <w:tcW w:w="2149" w:type="dxa"/>
            <w:vAlign w:val="center"/>
          </w:tcPr>
          <w:p>
            <w:pPr>
              <w:adjustRightInd w:val="0"/>
              <w:snapToGrid w:val="0"/>
              <w:jc w:val="center"/>
              <w:rPr>
                <w:rFonts w:ascii="宋体" w:hAnsi="宋体" w:cs="宋体"/>
                <w:szCs w:val="21"/>
              </w:rPr>
            </w:pPr>
            <w:r>
              <w:rPr>
                <w:rFonts w:hint="eastAsia" w:ascii="宋体" w:hAnsi="宋体" w:cs="宋体"/>
                <w:szCs w:val="21"/>
              </w:rPr>
              <w:t>《机械工程建设项目职业安全卫生设计规范》（GB51155-2016）第4.2.4条</w:t>
            </w:r>
          </w:p>
        </w:tc>
        <w:tc>
          <w:tcPr>
            <w:tcW w:w="2425" w:type="dxa"/>
            <w:vAlign w:val="center"/>
          </w:tcPr>
          <w:p>
            <w:pPr>
              <w:adjustRightInd w:val="0"/>
              <w:snapToGrid w:val="0"/>
              <w:rPr>
                <w:rFonts w:ascii="宋体" w:hAnsi="宋体" w:cs="宋体"/>
                <w:szCs w:val="21"/>
              </w:rPr>
            </w:pPr>
            <w:r>
              <w:rPr>
                <w:rFonts w:hint="eastAsia" w:ascii="宋体" w:hAnsi="宋体" w:cs="宋体"/>
                <w:szCs w:val="21"/>
              </w:rPr>
              <w:t>本项目自动化水平高，采用自动控制或远程控制，采用自动上下料和输送装置。</w:t>
            </w:r>
          </w:p>
        </w:tc>
        <w:tc>
          <w:tcPr>
            <w:tcW w:w="656" w:type="dxa"/>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Pr>
          <w:p>
            <w:pPr>
              <w:numPr>
                <w:ilvl w:val="0"/>
                <w:numId w:val="14"/>
              </w:numPr>
              <w:adjustRightInd w:val="0"/>
              <w:snapToGrid w:val="0"/>
              <w:jc w:val="right"/>
              <w:rPr>
                <w:rFonts w:ascii="宋体" w:hAnsi="宋体" w:cs="宋体"/>
                <w:szCs w:val="21"/>
              </w:rPr>
            </w:pPr>
          </w:p>
        </w:tc>
        <w:tc>
          <w:tcPr>
            <w:tcW w:w="4254" w:type="dxa"/>
            <w:vAlign w:val="center"/>
          </w:tcPr>
          <w:p>
            <w:pPr>
              <w:adjustRightInd w:val="0"/>
              <w:snapToGrid w:val="0"/>
              <w:rPr>
                <w:rFonts w:hint="eastAsia" w:ascii="宋体" w:hAnsi="宋体" w:cs="宋体"/>
                <w:color w:val="0000FF"/>
                <w:szCs w:val="21"/>
              </w:rPr>
            </w:pPr>
            <w:r>
              <w:rPr>
                <w:rFonts w:hint="eastAsia" w:ascii="宋体" w:hAnsi="宋体" w:cs="宋体"/>
                <w:color w:val="0000FF"/>
                <w:szCs w:val="21"/>
              </w:rPr>
              <w:t>同一座厂房或厂房的任一防火分区内有不同火灾危险性生产时,该厂房或防火分区内的火灾危险性分类应按火灾危险性较</w:t>
            </w:r>
            <w:r>
              <w:rPr>
                <w:rFonts w:hint="eastAsia" w:ascii="宋体" w:hAnsi="宋体" w:cs="宋体"/>
                <w:color w:val="0000FF"/>
                <w:szCs w:val="21"/>
                <w:lang w:val="en-US" w:eastAsia="zh-CN"/>
              </w:rPr>
              <w:t>大</w:t>
            </w:r>
            <w:r>
              <w:rPr>
                <w:rFonts w:hint="eastAsia" w:ascii="宋体" w:hAnsi="宋体" w:cs="宋体"/>
                <w:color w:val="0000FF"/>
                <w:szCs w:val="21"/>
              </w:rPr>
              <w:t>的部分确定。当符合下述条件之一时,可按火灾危险性较小的部分确定:</w:t>
            </w:r>
          </w:p>
          <w:p>
            <w:pPr>
              <w:adjustRightInd w:val="0"/>
              <w:snapToGrid w:val="0"/>
              <w:rPr>
                <w:rFonts w:hint="eastAsia" w:ascii="宋体" w:hAnsi="宋体" w:eastAsia="宋体" w:cs="宋体"/>
                <w:color w:val="0000FF"/>
                <w:szCs w:val="21"/>
                <w:lang w:eastAsia="zh-CN"/>
              </w:rPr>
            </w:pPr>
            <w:r>
              <w:rPr>
                <w:rFonts w:hint="eastAsia" w:ascii="宋体" w:hAnsi="宋体" w:cs="宋体"/>
                <w:color w:val="0000FF"/>
                <w:szCs w:val="21"/>
              </w:rPr>
              <w:t>1)火灾危险性较大的生产部分占本层或本防火分区面积的比例小于5%或丁、戊类厂房内的油漆工段小于10%,且发生火灾事故时不足以蔓延到其他部位或火灾危险性较大的生产部分采取了有效的防火措施</w:t>
            </w:r>
            <w:r>
              <w:rPr>
                <w:rFonts w:hint="eastAsia" w:ascii="宋体" w:hAnsi="宋体" w:cs="宋体"/>
                <w:color w:val="0000FF"/>
                <w:szCs w:val="21"/>
                <w:lang w:eastAsia="zh-CN"/>
              </w:rPr>
              <w:t>；</w:t>
            </w:r>
          </w:p>
          <w:p>
            <w:pPr>
              <w:adjustRightInd w:val="0"/>
              <w:snapToGrid w:val="0"/>
              <w:rPr>
                <w:rFonts w:hint="eastAsia" w:ascii="宋体" w:hAnsi="宋体" w:cs="宋体"/>
                <w:color w:val="0000FF"/>
                <w:szCs w:val="21"/>
              </w:rPr>
            </w:pPr>
            <w:r>
              <w:rPr>
                <w:rFonts w:hint="eastAsia" w:ascii="宋体" w:hAnsi="宋体" w:cs="宋体"/>
                <w:color w:val="0000FF"/>
                <w:szCs w:val="21"/>
              </w:rPr>
              <w:t>2)丁、戊类厂房的油漆工段,当采用封闭喷漆工艺时,封闭喷漆空间内保持负压、且油漆工段设置可燃气体浓度报警系统或自动抑爆系统时,且油漆工段占其所在防火分区面积的比例不大于情况介绍20%时。</w:t>
            </w:r>
          </w:p>
        </w:tc>
        <w:tc>
          <w:tcPr>
            <w:tcW w:w="2149" w:type="dxa"/>
            <w:vAlign w:val="center"/>
          </w:tcPr>
          <w:p>
            <w:pPr>
              <w:adjustRightInd w:val="0"/>
              <w:snapToGrid w:val="0"/>
              <w:jc w:val="center"/>
              <w:rPr>
                <w:rFonts w:hint="eastAsia" w:ascii="宋体" w:hAnsi="宋体" w:cs="宋体"/>
                <w:color w:val="0000FF"/>
                <w:szCs w:val="21"/>
              </w:rPr>
            </w:pPr>
            <w:r>
              <w:rPr>
                <w:rFonts w:hint="eastAsia" w:ascii="宋体" w:hAnsi="宋体" w:cs="宋体"/>
                <w:color w:val="0000FF"/>
                <w:szCs w:val="21"/>
                <w:lang w:eastAsia="zh-CN"/>
              </w:rPr>
              <w:t>《</w:t>
            </w:r>
            <w:r>
              <w:rPr>
                <w:rFonts w:hint="eastAsia" w:ascii="宋体" w:hAnsi="宋体" w:cs="宋体"/>
                <w:color w:val="0000FF"/>
                <w:szCs w:val="21"/>
              </w:rPr>
              <w:t>涂装作业安全规程 涂漆工艺安全及其通风净化</w:t>
            </w:r>
            <w:r>
              <w:rPr>
                <w:rFonts w:hint="eastAsia" w:ascii="宋体" w:hAnsi="宋体" w:cs="宋体"/>
                <w:color w:val="0000FF"/>
                <w:szCs w:val="21"/>
                <w:lang w:eastAsia="zh-CN"/>
              </w:rPr>
              <w:t>》</w:t>
            </w:r>
            <w:r>
              <w:rPr>
                <w:rFonts w:hint="eastAsia" w:ascii="宋体" w:hAnsi="宋体" w:cs="宋体"/>
                <w:color w:val="0000FF"/>
                <w:szCs w:val="21"/>
                <w:lang w:val="en-US" w:eastAsia="zh-CN"/>
              </w:rPr>
              <w:t xml:space="preserve"> </w:t>
            </w:r>
            <w:r>
              <w:rPr>
                <w:rFonts w:hint="eastAsia" w:ascii="宋体" w:hAnsi="宋体" w:cs="宋体"/>
                <w:color w:val="0000FF"/>
                <w:szCs w:val="21"/>
                <w:lang w:eastAsia="zh-CN"/>
              </w:rPr>
              <w:t>（</w:t>
            </w:r>
            <w:r>
              <w:rPr>
                <w:rFonts w:hint="eastAsia" w:ascii="宋体" w:hAnsi="宋体" w:cs="宋体"/>
                <w:color w:val="0000FF"/>
                <w:szCs w:val="21"/>
              </w:rPr>
              <w:t>GB 6514-2008</w:t>
            </w:r>
            <w:r>
              <w:rPr>
                <w:rFonts w:hint="eastAsia" w:ascii="宋体" w:hAnsi="宋体" w:cs="宋体"/>
                <w:color w:val="0000FF"/>
                <w:szCs w:val="21"/>
                <w:lang w:eastAsia="zh-CN"/>
              </w:rPr>
              <w:t>）</w:t>
            </w:r>
            <w:r>
              <w:rPr>
                <w:rFonts w:hint="eastAsia" w:ascii="宋体" w:hAnsi="宋体" w:cs="宋体"/>
                <w:color w:val="0000FF"/>
                <w:szCs w:val="21"/>
                <w:lang w:val="en-US" w:eastAsia="zh-CN"/>
              </w:rPr>
              <w:t>5.1.1.8</w:t>
            </w:r>
            <w:r>
              <w:rPr>
                <w:rFonts w:hint="eastAsia" w:ascii="宋体" w:hAnsi="宋体" w:cs="宋体"/>
                <w:color w:val="0000FF"/>
                <w:szCs w:val="21"/>
              </w:rPr>
              <w:t xml:space="preserve"> </w:t>
            </w:r>
          </w:p>
        </w:tc>
        <w:tc>
          <w:tcPr>
            <w:tcW w:w="2425" w:type="dxa"/>
            <w:vAlign w:val="center"/>
          </w:tcPr>
          <w:p>
            <w:pPr>
              <w:adjustRightInd w:val="0"/>
              <w:snapToGrid w:val="0"/>
              <w:rPr>
                <w:rFonts w:hint="default" w:ascii="宋体" w:hAnsi="宋体" w:eastAsia="宋体" w:cs="宋体"/>
                <w:color w:val="0000FF"/>
                <w:szCs w:val="21"/>
                <w:lang w:val="en-US" w:eastAsia="zh-CN"/>
              </w:rPr>
            </w:pPr>
            <w:r>
              <w:rPr>
                <w:rFonts w:hint="eastAsia" w:ascii="宋体" w:hAnsi="宋体" w:cs="宋体"/>
                <w:color w:val="0000FF"/>
                <w:szCs w:val="21"/>
                <w:lang w:val="en-US" w:eastAsia="zh-CN"/>
              </w:rPr>
              <w:t>第三联合厂房为丁类厂房，补漆室采用先进高效（除漆雾效率98%）的水旋式补漆室。上部送室外新鲜空调风，底部含漆雾空气抽出经活性炭吸、脱附燃烧处理达标后高空排放。喷漆室喷涂废气经“水旋+漆雾毡”处理后与烘干废气一起收集后，经1套活性炭吸附装置处理后，由1个15m高排气筒排放。储漆间、辅料间设置机械排风，风机采用防爆轴流风机，房间上、下设置，平时及事故时开启，与室内数值型防爆可燃气体检测报警仪联锁。</w:t>
            </w:r>
          </w:p>
        </w:tc>
        <w:tc>
          <w:tcPr>
            <w:tcW w:w="656" w:type="dxa"/>
            <w:vAlign w:val="center"/>
          </w:tcPr>
          <w:p>
            <w:pPr>
              <w:adjustRightInd w:val="0"/>
              <w:snapToGrid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符合</w:t>
            </w:r>
          </w:p>
        </w:tc>
      </w:tr>
      <w:tr>
        <w:tblPrEx>
          <w:tblBorders>
            <w:top w:val="single" w:color="auto" w:sz="2"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1" w:hRule="atLeast"/>
          <w:jc w:val="center"/>
        </w:trPr>
        <w:tc>
          <w:tcPr>
            <w:tcW w:w="554" w:type="dxa"/>
          </w:tcPr>
          <w:p>
            <w:pPr>
              <w:numPr>
                <w:ilvl w:val="0"/>
                <w:numId w:val="14"/>
              </w:numPr>
              <w:adjustRightInd w:val="0"/>
              <w:snapToGrid w:val="0"/>
              <w:jc w:val="right"/>
              <w:rPr>
                <w:rFonts w:ascii="宋体" w:hAnsi="宋体" w:cs="宋体"/>
                <w:szCs w:val="21"/>
              </w:rPr>
            </w:pPr>
          </w:p>
        </w:tc>
        <w:tc>
          <w:tcPr>
            <w:tcW w:w="4254" w:type="dxa"/>
            <w:vAlign w:val="center"/>
          </w:tcPr>
          <w:p>
            <w:pPr>
              <w:adjustRightInd w:val="0"/>
              <w:snapToGrid w:val="0"/>
              <w:rPr>
                <w:rFonts w:hint="default" w:ascii="宋体" w:hAnsi="宋体" w:eastAsia="宋体" w:cs="宋体"/>
                <w:color w:val="0000FF"/>
                <w:szCs w:val="21"/>
                <w:lang w:val="en-US" w:eastAsia="zh-CN"/>
              </w:rPr>
            </w:pPr>
            <w:r>
              <w:rPr>
                <w:rFonts w:hint="eastAsia" w:ascii="宋体" w:hAnsi="宋体" w:cs="宋体"/>
                <w:color w:val="0000FF"/>
                <w:szCs w:val="21"/>
                <w:lang w:val="en-US" w:eastAsia="zh-CN"/>
              </w:rPr>
              <w:t>喷漆室应设有机械通风和喷雾净化装置。</w:t>
            </w:r>
          </w:p>
        </w:tc>
        <w:tc>
          <w:tcPr>
            <w:tcW w:w="2149" w:type="dxa"/>
            <w:vAlign w:val="center"/>
          </w:tcPr>
          <w:p>
            <w:pPr>
              <w:adjustRightInd w:val="0"/>
              <w:snapToGrid w:val="0"/>
              <w:jc w:val="center"/>
              <w:rPr>
                <w:rFonts w:hint="default" w:ascii="宋体" w:hAnsi="宋体" w:cs="宋体"/>
                <w:color w:val="0000FF"/>
                <w:szCs w:val="21"/>
                <w:lang w:val="en-US" w:eastAsia="zh-CN"/>
              </w:rPr>
            </w:pPr>
            <w:r>
              <w:rPr>
                <w:rFonts w:hint="eastAsia" w:ascii="宋体" w:hAnsi="宋体" w:cs="宋体"/>
                <w:color w:val="0000FF"/>
                <w:szCs w:val="21"/>
                <w:lang w:eastAsia="zh-CN"/>
              </w:rPr>
              <w:t>《</w:t>
            </w:r>
            <w:r>
              <w:rPr>
                <w:rFonts w:hint="eastAsia" w:ascii="宋体" w:hAnsi="宋体" w:cs="宋体"/>
                <w:color w:val="0000FF"/>
                <w:szCs w:val="21"/>
              </w:rPr>
              <w:t>涂装作业安全规程 涂漆工艺安全及其通风净化</w:t>
            </w:r>
            <w:r>
              <w:rPr>
                <w:rFonts w:hint="eastAsia" w:ascii="宋体" w:hAnsi="宋体" w:cs="宋体"/>
                <w:color w:val="0000FF"/>
                <w:szCs w:val="21"/>
                <w:lang w:eastAsia="zh-CN"/>
              </w:rPr>
              <w:t>》</w:t>
            </w:r>
            <w:r>
              <w:rPr>
                <w:rFonts w:hint="eastAsia" w:ascii="宋体" w:hAnsi="宋体" w:cs="宋体"/>
                <w:color w:val="0000FF"/>
                <w:szCs w:val="21"/>
                <w:lang w:val="en-US" w:eastAsia="zh-CN"/>
              </w:rPr>
              <w:t xml:space="preserve"> </w:t>
            </w:r>
            <w:r>
              <w:rPr>
                <w:rFonts w:hint="eastAsia" w:ascii="宋体" w:hAnsi="宋体" w:cs="宋体"/>
                <w:color w:val="0000FF"/>
                <w:szCs w:val="21"/>
                <w:lang w:eastAsia="zh-CN"/>
              </w:rPr>
              <w:t>（</w:t>
            </w:r>
            <w:r>
              <w:rPr>
                <w:rFonts w:hint="eastAsia" w:ascii="宋体" w:hAnsi="宋体" w:cs="宋体"/>
                <w:color w:val="0000FF"/>
                <w:szCs w:val="21"/>
              </w:rPr>
              <w:t>GB 6514-2008</w:t>
            </w:r>
            <w:r>
              <w:rPr>
                <w:rFonts w:hint="eastAsia" w:ascii="宋体" w:hAnsi="宋体" w:cs="宋体"/>
                <w:color w:val="0000FF"/>
                <w:szCs w:val="21"/>
                <w:lang w:eastAsia="zh-CN"/>
              </w:rPr>
              <w:t>）</w:t>
            </w:r>
            <w:r>
              <w:rPr>
                <w:rFonts w:hint="eastAsia" w:ascii="宋体" w:hAnsi="宋体" w:cs="宋体"/>
                <w:color w:val="0000FF"/>
                <w:szCs w:val="21"/>
                <w:lang w:val="en-US" w:eastAsia="zh-CN"/>
              </w:rPr>
              <w:t>6.3.1.1</w:t>
            </w:r>
          </w:p>
        </w:tc>
        <w:tc>
          <w:tcPr>
            <w:tcW w:w="2425" w:type="dxa"/>
            <w:vAlign w:val="center"/>
          </w:tcPr>
          <w:p>
            <w:pPr>
              <w:adjustRightInd w:val="0"/>
              <w:snapToGrid w:val="0"/>
              <w:rPr>
                <w:rFonts w:hint="eastAsia" w:ascii="宋体" w:hAnsi="宋体" w:cs="宋体"/>
                <w:color w:val="0000FF"/>
                <w:szCs w:val="21"/>
              </w:rPr>
            </w:pPr>
            <w:r>
              <w:rPr>
                <w:rFonts w:hint="eastAsia" w:ascii="宋体" w:hAnsi="宋体" w:cs="宋体"/>
                <w:color w:val="0000FF"/>
                <w:szCs w:val="21"/>
                <w:lang w:val="en-US" w:eastAsia="zh-CN"/>
              </w:rPr>
              <w:t>补漆室采用先进高效（除漆雾效率98%）的水旋式补漆室。上部送室外新鲜空调风，底部含漆雾空气抽出经活性炭吸、脱附燃烧处理达标后高空排放。喷漆室喷涂废气经“水旋+漆雾毡”处理后与烘干废气一起收集后，经1套活性炭吸附装置处理后，由1个15m高排气筒排放。</w:t>
            </w:r>
          </w:p>
        </w:tc>
        <w:tc>
          <w:tcPr>
            <w:tcW w:w="656" w:type="dxa"/>
            <w:vAlign w:val="center"/>
          </w:tcPr>
          <w:p>
            <w:pPr>
              <w:adjustRightInd w:val="0"/>
              <w:snapToGrid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符合</w:t>
            </w:r>
          </w:p>
        </w:tc>
      </w:tr>
    </w:tbl>
    <w:p/>
    <w:p>
      <w:pPr>
        <w:pStyle w:val="5"/>
        <w:keepNext w:val="0"/>
        <w:keepLines w:val="0"/>
        <w:snapToGrid w:val="0"/>
        <w:spacing w:before="0" w:after="0" w:line="360" w:lineRule="auto"/>
        <w:rPr>
          <w:rFonts w:ascii="宋体" w:hAnsi="宋体" w:cs="宋体"/>
          <w:sz w:val="28"/>
          <w:szCs w:val="28"/>
        </w:rPr>
      </w:pPr>
      <w:bookmarkStart w:id="532" w:name="_Toc21427"/>
      <w:bookmarkStart w:id="533" w:name="_Toc2103"/>
      <w:r>
        <w:rPr>
          <w:rFonts w:hint="eastAsia" w:ascii="宋体" w:hAnsi="宋体" w:cs="宋体"/>
          <w:sz w:val="28"/>
          <w:szCs w:val="28"/>
        </w:rPr>
        <w:t>5.3.2</w:t>
      </w:r>
      <w:r>
        <w:rPr>
          <w:rFonts w:hint="eastAsia" w:ascii="宋体" w:hAnsi="宋体" w:cs="宋体"/>
          <w:sz w:val="28"/>
          <w:szCs w:val="28"/>
          <w:lang w:val="en-US" w:eastAsia="zh-CN"/>
        </w:rPr>
        <w:t xml:space="preserve"> </w:t>
      </w:r>
      <w:r>
        <w:rPr>
          <w:rFonts w:hint="eastAsia" w:ascii="宋体" w:hAnsi="宋体" w:cs="宋体"/>
          <w:sz w:val="28"/>
          <w:szCs w:val="28"/>
        </w:rPr>
        <w:t>单元小结</w:t>
      </w:r>
      <w:bookmarkEnd w:id="531"/>
      <w:bookmarkEnd w:id="532"/>
      <w:bookmarkEnd w:id="533"/>
    </w:p>
    <w:p>
      <w:pPr>
        <w:adjustRightInd w:val="0"/>
        <w:snapToGrid w:val="0"/>
        <w:spacing w:line="360" w:lineRule="auto"/>
        <w:ind w:firstLine="560" w:firstLineChars="200"/>
        <w:rPr>
          <w:snapToGrid w:val="0"/>
          <w:color w:val="FF0000"/>
          <w:kern w:val="0"/>
          <w:sz w:val="28"/>
          <w:szCs w:val="28"/>
        </w:rPr>
      </w:pPr>
      <w:r>
        <w:rPr>
          <w:rFonts w:hint="eastAsia"/>
          <w:snapToGrid w:val="0"/>
          <w:kern w:val="0"/>
          <w:sz w:val="28"/>
          <w:szCs w:val="28"/>
        </w:rPr>
        <w:t>通过检查表可知：本项目生产工艺及设备设施所列检查项基本符合《中华人民共和国安全生产法》、《生产过程安全卫生要求总则》（GB/T12801-2008）、《生产设备安全卫生设计总则》（GB5083-1999）、《机械工程建设项目职业安全卫生设计规范》（GB51155-2016）、《机械电气安全机械电气设备第34部分：机床技术条件》（GBT5226.34-2020）、《机械电气安全机械电气设备第7部分工业机器人技术条件》（GBT5226.7-2020）</w:t>
      </w:r>
      <w:r>
        <w:rPr>
          <w:rFonts w:hint="eastAsia"/>
          <w:snapToGrid w:val="0"/>
          <w:kern w:val="0"/>
          <w:sz w:val="28"/>
          <w:szCs w:val="28"/>
          <w:lang w:eastAsia="zh-CN"/>
        </w:rPr>
        <w:t>、《涂装作业安全规程 涂漆工艺安全及其通风净化》 （GB 6514-2008）</w:t>
      </w:r>
      <w:r>
        <w:rPr>
          <w:rFonts w:hint="eastAsia"/>
          <w:snapToGrid w:val="0"/>
          <w:kern w:val="0"/>
          <w:sz w:val="28"/>
          <w:szCs w:val="28"/>
        </w:rPr>
        <w:t>等标准和规范要求</w:t>
      </w:r>
      <w:r>
        <w:rPr>
          <w:rFonts w:hint="eastAsia" w:ascii="宋体" w:hAnsi="宋体" w:cs="宋体"/>
          <w:snapToGrid w:val="0"/>
          <w:kern w:val="0"/>
          <w:sz w:val="28"/>
          <w:szCs w:val="28"/>
        </w:rPr>
        <w:t>。</w:t>
      </w:r>
    </w:p>
    <w:p>
      <w:pPr>
        <w:pStyle w:val="4"/>
        <w:keepNext w:val="0"/>
        <w:keepLines w:val="0"/>
        <w:snapToGrid w:val="0"/>
        <w:spacing w:before="0" w:after="0" w:line="360" w:lineRule="auto"/>
        <w:jc w:val="left"/>
        <w:rPr>
          <w:rFonts w:ascii="宋体" w:hAnsi="宋体" w:cs="宋体"/>
          <w:snapToGrid/>
          <w:kern w:val="2"/>
        </w:rPr>
      </w:pPr>
      <w:bookmarkStart w:id="534" w:name="_Toc29217"/>
      <w:bookmarkStart w:id="535" w:name="_Toc3620"/>
      <w:bookmarkStart w:id="536" w:name="_Toc10869"/>
      <w:r>
        <w:rPr>
          <w:rFonts w:hint="eastAsia" w:ascii="宋体" w:hAnsi="宋体" w:cs="宋体"/>
          <w:snapToGrid/>
          <w:kern w:val="2"/>
        </w:rPr>
        <w:t>5.4</w:t>
      </w:r>
      <w:r>
        <w:rPr>
          <w:rFonts w:hint="eastAsia" w:ascii="宋体" w:hAnsi="宋体" w:cs="宋体"/>
          <w:snapToGrid/>
          <w:kern w:val="2"/>
          <w:lang w:val="en-US" w:eastAsia="zh-CN"/>
        </w:rPr>
        <w:t xml:space="preserve"> </w:t>
      </w:r>
      <w:r>
        <w:rPr>
          <w:rFonts w:hint="eastAsia" w:ascii="宋体" w:hAnsi="宋体" w:cs="宋体"/>
          <w:snapToGrid/>
          <w:kern w:val="2"/>
        </w:rPr>
        <w:t>安全设施设计符合性评价单元</w:t>
      </w:r>
      <w:bookmarkEnd w:id="534"/>
      <w:bookmarkEnd w:id="535"/>
    </w:p>
    <w:p>
      <w:pPr>
        <w:pStyle w:val="5"/>
        <w:keepNext w:val="0"/>
        <w:keepLines w:val="0"/>
        <w:snapToGrid w:val="0"/>
        <w:spacing w:before="0" w:after="0" w:line="360" w:lineRule="auto"/>
        <w:rPr>
          <w:rFonts w:ascii="宋体" w:hAnsi="宋体" w:cs="宋体"/>
          <w:sz w:val="28"/>
          <w:szCs w:val="28"/>
        </w:rPr>
      </w:pPr>
      <w:bookmarkStart w:id="537" w:name="_Toc10190"/>
      <w:bookmarkStart w:id="538" w:name="_Toc30804"/>
      <w:r>
        <w:rPr>
          <w:rFonts w:hint="eastAsia" w:ascii="宋体" w:hAnsi="宋体" w:cs="宋体"/>
          <w:sz w:val="28"/>
          <w:szCs w:val="28"/>
        </w:rPr>
        <w:t>5.4.1</w:t>
      </w:r>
      <w:r>
        <w:rPr>
          <w:rFonts w:hint="eastAsia" w:ascii="宋体" w:hAnsi="宋体" w:cs="宋体"/>
          <w:sz w:val="28"/>
          <w:szCs w:val="28"/>
          <w:lang w:val="en-US" w:eastAsia="zh-CN"/>
        </w:rPr>
        <w:t xml:space="preserve"> </w:t>
      </w:r>
      <w:r>
        <w:rPr>
          <w:rFonts w:hint="eastAsia" w:ascii="宋体" w:hAnsi="宋体" w:cs="宋体"/>
          <w:sz w:val="28"/>
          <w:szCs w:val="28"/>
        </w:rPr>
        <w:t>安全设施设计符合性安全检查表</w:t>
      </w:r>
      <w:bookmarkEnd w:id="537"/>
      <w:bookmarkEnd w:id="538"/>
    </w:p>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表 5.4安全设施设计符合性检查表</w:t>
      </w:r>
    </w:p>
    <w:tbl>
      <w:tblPr>
        <w:tblStyle w:val="52"/>
        <w:tblW w:w="96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15"/>
        <w:gridCol w:w="3249"/>
        <w:gridCol w:w="2391"/>
        <w:gridCol w:w="2850"/>
        <w:gridCol w:w="5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9" w:hRule="atLeast"/>
          <w:tblHeader/>
          <w:jc w:val="center"/>
        </w:trPr>
        <w:tc>
          <w:tcPr>
            <w:tcW w:w="615" w:type="dxa"/>
            <w:noWrap/>
            <w:vAlign w:val="center"/>
          </w:tcPr>
          <w:p>
            <w:pPr>
              <w:adjustRightInd w:val="0"/>
              <w:jc w:val="center"/>
              <w:rPr>
                <w:rFonts w:ascii="宋体" w:hAnsi="宋体" w:cs="宋体"/>
                <w:b/>
                <w:szCs w:val="21"/>
              </w:rPr>
            </w:pPr>
            <w:r>
              <w:rPr>
                <w:rFonts w:hint="eastAsia" w:ascii="宋体" w:hAnsi="宋体" w:cs="宋体"/>
                <w:b/>
                <w:szCs w:val="21"/>
              </w:rPr>
              <w:t>序号</w:t>
            </w:r>
          </w:p>
        </w:tc>
        <w:tc>
          <w:tcPr>
            <w:tcW w:w="3249" w:type="dxa"/>
            <w:noWrap/>
            <w:vAlign w:val="center"/>
          </w:tcPr>
          <w:p>
            <w:pPr>
              <w:adjustRightInd w:val="0"/>
              <w:jc w:val="center"/>
              <w:rPr>
                <w:rFonts w:ascii="宋体" w:hAnsi="宋体" w:cs="宋体"/>
                <w:b/>
                <w:szCs w:val="21"/>
              </w:rPr>
            </w:pPr>
            <w:r>
              <w:rPr>
                <w:rFonts w:hint="eastAsia" w:ascii="宋体" w:hAnsi="宋体" w:cs="宋体"/>
                <w:b/>
                <w:szCs w:val="21"/>
              </w:rPr>
              <w:t>检查内容</w:t>
            </w:r>
          </w:p>
        </w:tc>
        <w:tc>
          <w:tcPr>
            <w:tcW w:w="2391" w:type="dxa"/>
            <w:noWrap/>
            <w:vAlign w:val="center"/>
          </w:tcPr>
          <w:p>
            <w:pPr>
              <w:adjustRightInd w:val="0"/>
              <w:jc w:val="center"/>
              <w:rPr>
                <w:rFonts w:ascii="宋体" w:hAnsi="宋体" w:cs="宋体"/>
                <w:b/>
                <w:szCs w:val="21"/>
              </w:rPr>
            </w:pPr>
            <w:r>
              <w:rPr>
                <w:rFonts w:hint="eastAsia" w:ascii="宋体" w:hAnsi="宋体" w:cs="宋体"/>
                <w:b/>
                <w:szCs w:val="21"/>
              </w:rPr>
              <w:t>依据标准</w:t>
            </w:r>
          </w:p>
        </w:tc>
        <w:tc>
          <w:tcPr>
            <w:tcW w:w="2850" w:type="dxa"/>
            <w:noWrap/>
            <w:vAlign w:val="center"/>
          </w:tcPr>
          <w:p>
            <w:pPr>
              <w:adjustRightInd w:val="0"/>
              <w:jc w:val="center"/>
              <w:rPr>
                <w:rFonts w:ascii="宋体" w:hAnsi="宋体" w:cs="宋体"/>
                <w:b/>
                <w:szCs w:val="21"/>
              </w:rPr>
            </w:pPr>
            <w:r>
              <w:rPr>
                <w:rFonts w:hint="eastAsia" w:ascii="宋体" w:hAnsi="宋体" w:cs="宋体"/>
                <w:b/>
                <w:szCs w:val="21"/>
              </w:rPr>
              <w:t>检查情况</w:t>
            </w:r>
          </w:p>
        </w:tc>
        <w:tc>
          <w:tcPr>
            <w:tcW w:w="579" w:type="dxa"/>
            <w:noWrap/>
            <w:vAlign w:val="center"/>
          </w:tcPr>
          <w:p>
            <w:pPr>
              <w:adjustRightInd w:val="0"/>
              <w:jc w:val="center"/>
              <w:rPr>
                <w:rFonts w:ascii="宋体" w:hAnsi="宋体" w:cs="宋体"/>
                <w:b/>
                <w:szCs w:val="21"/>
              </w:rPr>
            </w:pPr>
            <w:r>
              <w:rPr>
                <w:rFonts w:hint="eastAsia" w:ascii="宋体" w:hAnsi="宋体" w:cs="宋体"/>
                <w:b/>
                <w:szCs w:val="21"/>
              </w:rPr>
              <w:t>结论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w:t>
            </w:r>
          </w:p>
        </w:tc>
        <w:tc>
          <w:tcPr>
            <w:tcW w:w="3249" w:type="dxa"/>
            <w:noWrap/>
            <w:vAlign w:val="center"/>
          </w:tcPr>
          <w:p>
            <w:pPr>
              <w:snapToGrid w:val="0"/>
              <w:spacing w:line="260" w:lineRule="exact"/>
              <w:rPr>
                <w:rFonts w:ascii="宋体" w:hAnsi="宋体" w:cs="宋体"/>
                <w:bCs/>
                <w:szCs w:val="21"/>
              </w:rPr>
            </w:pPr>
            <w:r>
              <w:rPr>
                <w:rFonts w:hint="eastAsia" w:ascii="宋体" w:hAnsi="宋体" w:cs="宋体"/>
                <w:bCs/>
                <w:szCs w:val="21"/>
              </w:rPr>
              <w:t>尽可能采用无毒、无害或低毒、低害的原材料及不产生或少产生危险和有害因素的新技术、新工艺、新设备，并采取行之有效的综合控制措施。</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《昆明云内动力股份有限公司G系列节能环保轻型商用车汽油机产业化建设项目》6.1.1</w:t>
            </w:r>
          </w:p>
        </w:tc>
        <w:tc>
          <w:tcPr>
            <w:tcW w:w="2850" w:type="dxa"/>
            <w:noWrap/>
            <w:vAlign w:val="center"/>
          </w:tcPr>
          <w:p>
            <w:pPr>
              <w:snapToGrid w:val="0"/>
              <w:spacing w:line="260" w:lineRule="exact"/>
              <w:rPr>
                <w:rFonts w:ascii="宋体" w:hAnsi="宋体" w:cs="宋体"/>
                <w:bCs/>
                <w:szCs w:val="21"/>
              </w:rPr>
            </w:pPr>
            <w:r>
              <w:rPr>
                <w:rFonts w:hint="eastAsia" w:ascii="宋体" w:hAnsi="宋体" w:cs="宋体"/>
                <w:bCs/>
                <w:szCs w:val="21"/>
              </w:rPr>
              <w:t>本项目生产采用成熟先进工艺。</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73"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w:t>
            </w:r>
          </w:p>
        </w:tc>
        <w:tc>
          <w:tcPr>
            <w:tcW w:w="3249" w:type="dxa"/>
            <w:noWrap/>
            <w:vAlign w:val="center"/>
          </w:tcPr>
          <w:p>
            <w:pPr>
              <w:snapToGrid w:val="0"/>
              <w:spacing w:line="260" w:lineRule="exact"/>
              <w:rPr>
                <w:rFonts w:ascii="宋体" w:hAnsi="宋体" w:cs="宋体"/>
                <w:bCs/>
                <w:szCs w:val="21"/>
              </w:rPr>
            </w:pPr>
            <w:r>
              <w:rPr>
                <w:rFonts w:hint="eastAsia" w:ascii="宋体" w:hAnsi="宋体" w:cs="宋体"/>
                <w:bCs/>
                <w:szCs w:val="21"/>
              </w:rPr>
              <w:t>对作业人员进行安全培训，并制定作业操作规程，作业人员需严格执行。</w:t>
            </w:r>
          </w:p>
          <w:p>
            <w:pPr>
              <w:snapToGrid w:val="0"/>
              <w:spacing w:line="260" w:lineRule="exact"/>
              <w:rPr>
                <w:rFonts w:ascii="宋体" w:hAnsi="宋体" w:cs="宋体"/>
                <w:bCs/>
                <w:szCs w:val="21"/>
              </w:rPr>
            </w:pP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《昆明云内动力股份有限公司G系列节能环保轻型商用车汽油机产业化建设项目》6.1.1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公司制订有相应的安全操作规程。</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3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3</w:t>
            </w:r>
          </w:p>
        </w:tc>
        <w:tc>
          <w:tcPr>
            <w:tcW w:w="3249" w:type="dxa"/>
            <w:noWrap/>
            <w:vAlign w:val="center"/>
          </w:tcPr>
          <w:p>
            <w:pPr>
              <w:snapToGrid w:val="0"/>
              <w:spacing w:line="260" w:lineRule="exact"/>
              <w:rPr>
                <w:rFonts w:ascii="宋体" w:hAnsi="宋体" w:cs="宋体"/>
                <w:bCs/>
                <w:szCs w:val="21"/>
              </w:rPr>
            </w:pPr>
            <w:r>
              <w:rPr>
                <w:rFonts w:hint="eastAsia" w:ascii="宋体" w:hAnsi="宋体" w:cs="宋体"/>
                <w:bCs/>
                <w:szCs w:val="21"/>
              </w:rPr>
              <w:t>汽油管路、压缩空气储罐上均应安装安全阀。储气罐与供气总管之间，装设切断阀。</w:t>
            </w:r>
          </w:p>
          <w:p>
            <w:pPr>
              <w:snapToGrid w:val="0"/>
              <w:spacing w:line="260" w:lineRule="exact"/>
              <w:rPr>
                <w:rFonts w:ascii="宋体" w:hAnsi="宋体" w:cs="宋体"/>
                <w:bCs/>
                <w:szCs w:val="21"/>
              </w:rPr>
            </w:pP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《昆明云内动力股份有限公司G系列节能环保轻型商用车汽油机产业化建设项目》6.1.1</w:t>
            </w:r>
          </w:p>
        </w:tc>
        <w:tc>
          <w:tcPr>
            <w:tcW w:w="2850" w:type="dxa"/>
            <w:noWrap/>
            <w:vAlign w:val="center"/>
          </w:tcPr>
          <w:p>
            <w:pPr>
              <w:snapToGrid w:val="0"/>
              <w:spacing w:line="260" w:lineRule="exact"/>
              <w:rPr>
                <w:rFonts w:ascii="宋体" w:hAnsi="宋体" w:cs="宋体"/>
                <w:bCs/>
                <w:szCs w:val="21"/>
              </w:rPr>
            </w:pPr>
            <w:r>
              <w:rPr>
                <w:rFonts w:hint="eastAsia" w:ascii="宋体" w:hAnsi="宋体" w:cs="宋体"/>
                <w:bCs/>
                <w:szCs w:val="21"/>
              </w:rPr>
              <w:t>汽油管路、压缩空气储罐上均安装有安全阀。储气罐与供气总管之间，装设切断阀。</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96"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4</w:t>
            </w:r>
          </w:p>
        </w:tc>
        <w:tc>
          <w:tcPr>
            <w:tcW w:w="3249" w:type="dxa"/>
            <w:noWrap/>
            <w:vAlign w:val="center"/>
          </w:tcPr>
          <w:p>
            <w:pPr>
              <w:snapToGrid w:val="0"/>
              <w:spacing w:line="260" w:lineRule="exact"/>
              <w:rPr>
                <w:rFonts w:ascii="宋体" w:hAnsi="宋体" w:cs="宋体"/>
                <w:bCs/>
                <w:szCs w:val="21"/>
              </w:rPr>
            </w:pPr>
            <w:r>
              <w:rPr>
                <w:rFonts w:hint="eastAsia" w:ascii="宋体" w:hAnsi="宋体" w:cs="宋体"/>
                <w:bCs/>
                <w:szCs w:val="21"/>
              </w:rPr>
              <w:t>储漆间进行油漆的临时暂存，调漆间进行调漆及向涂装线发送油漆，属爆炸危险2区。爆炸危险2区内火灾报警系统布线穿低压流体应用镀锌钢管沿顶板、墙明敷，钢管外表面须涂刷防火涂料。</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《昆明云内动力股份有限公司G系列节能环保轻型商用车汽油机产业化建设项目》6.1.1</w:t>
            </w:r>
          </w:p>
        </w:tc>
        <w:tc>
          <w:tcPr>
            <w:tcW w:w="2850" w:type="dxa"/>
            <w:noWrap/>
            <w:vAlign w:val="center"/>
          </w:tcPr>
          <w:p>
            <w:pPr>
              <w:snapToGrid w:val="0"/>
              <w:spacing w:line="260" w:lineRule="exact"/>
              <w:rPr>
                <w:rFonts w:ascii="宋体" w:hAnsi="宋体" w:cs="宋体"/>
                <w:bCs/>
                <w:szCs w:val="21"/>
              </w:rPr>
            </w:pPr>
            <w:r>
              <w:rPr>
                <w:rFonts w:hint="eastAsia" w:ascii="宋体" w:hAnsi="宋体" w:cs="宋体"/>
                <w:bCs/>
                <w:szCs w:val="21"/>
              </w:rPr>
              <w:t>爆炸危险2区内火灾报警系统布线穿低压流体用镀锌钢管沿顶板、墙明敷，钢管外表面须涂刷防火涂料。</w:t>
            </w:r>
          </w:p>
          <w:p>
            <w:pPr>
              <w:adjustRightInd w:val="0"/>
              <w:jc w:val="left"/>
              <w:rPr>
                <w:rFonts w:ascii="宋体" w:hAnsi="宋体" w:cs="宋体"/>
                <w:bCs/>
                <w:szCs w:val="21"/>
              </w:rPr>
            </w:pP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672"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5</w:t>
            </w:r>
          </w:p>
        </w:tc>
        <w:tc>
          <w:tcPr>
            <w:tcW w:w="3249" w:type="dxa"/>
            <w:noWrap/>
            <w:vAlign w:val="center"/>
          </w:tcPr>
          <w:p>
            <w:pPr>
              <w:snapToGrid w:val="0"/>
              <w:spacing w:line="260" w:lineRule="exact"/>
              <w:rPr>
                <w:rFonts w:ascii="宋体" w:hAnsi="宋体" w:cs="宋体"/>
                <w:bCs/>
                <w:szCs w:val="21"/>
              </w:rPr>
            </w:pPr>
            <w:r>
              <w:rPr>
                <w:rFonts w:hint="eastAsia" w:ascii="宋体" w:hAnsi="宋体" w:cs="宋体"/>
                <w:bCs/>
                <w:szCs w:val="21"/>
              </w:rPr>
              <w:t>调漆间、储漆间应设红紫外复合火焰探测器，探测器报警信号经可燃气体报警控制器接入厂区消防控制室内。红紫外复合火焰探测器探测角度不小于90°，探测距离不小于20m，探测器向下倾斜45°壁装。当发生火灾时，联动切断着火区域电源。</w:t>
            </w:r>
          </w:p>
          <w:p>
            <w:pPr>
              <w:snapToGrid w:val="0"/>
              <w:spacing w:line="260" w:lineRule="exact"/>
              <w:rPr>
                <w:rFonts w:ascii="宋体" w:hAnsi="宋体" w:cs="宋体"/>
                <w:bCs/>
                <w:szCs w:val="21"/>
              </w:rPr>
            </w:pPr>
            <w:r>
              <w:rPr>
                <w:rFonts w:hint="eastAsia" w:ascii="宋体" w:hAnsi="宋体" w:cs="宋体"/>
                <w:bCs/>
                <w:szCs w:val="21"/>
              </w:rPr>
              <w:t>储漆间、调漆间设可燃气体探测器，探测二甲苯、氢气等可燃气体，报警设定值不应大于其下报警设定值不大于其下限浓度值的25%，浓度超过设定值时，联动启动声光报警器和事故风机。气体报警控制器通过联网线与火灾报警控制器联通，上传报警信号及动作信号。</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《昆明云内动力股份有限公司G系列节能环保轻型商用车汽油机产业化建设项目》6.1.1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调漆间、储漆间应设红紫外复合火焰探测器及可燃气体探测器。</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6</w:t>
            </w:r>
          </w:p>
        </w:tc>
        <w:tc>
          <w:tcPr>
            <w:tcW w:w="3249" w:type="dxa"/>
            <w:noWrap/>
            <w:vAlign w:val="center"/>
          </w:tcPr>
          <w:p>
            <w:pPr>
              <w:snapToGrid w:val="0"/>
              <w:spacing w:line="260" w:lineRule="exact"/>
              <w:rPr>
                <w:rFonts w:ascii="宋体" w:hAnsi="宋体" w:cs="宋体"/>
                <w:bCs/>
                <w:szCs w:val="21"/>
              </w:rPr>
            </w:pPr>
            <w:r>
              <w:rPr>
                <w:rFonts w:hint="eastAsia" w:ascii="宋体" w:hAnsi="宋体" w:cs="宋体"/>
                <w:bCs/>
                <w:szCs w:val="21"/>
              </w:rPr>
              <w:t>化学品管理工作人员应进行培训，经考核合格后持证上岗。</w:t>
            </w:r>
          </w:p>
          <w:p>
            <w:pPr>
              <w:snapToGrid w:val="0"/>
              <w:spacing w:line="260" w:lineRule="exact"/>
              <w:rPr>
                <w:rFonts w:ascii="宋体" w:hAnsi="宋体" w:cs="宋体"/>
                <w:bCs/>
                <w:szCs w:val="21"/>
              </w:rPr>
            </w:pPr>
            <w:r>
              <w:rPr>
                <w:rFonts w:hint="eastAsia" w:ascii="宋体" w:hAnsi="宋体" w:cs="宋体"/>
                <w:bCs/>
                <w:szCs w:val="21"/>
              </w:rPr>
              <w:t>企业应建立严格的操作规程和制度；编制事故应急救援预案，并进行演练。</w:t>
            </w:r>
          </w:p>
          <w:p>
            <w:pPr>
              <w:snapToGrid w:val="0"/>
              <w:spacing w:line="260" w:lineRule="exact"/>
              <w:rPr>
                <w:rFonts w:ascii="宋体" w:hAnsi="宋体" w:cs="宋体"/>
                <w:bCs/>
                <w:szCs w:val="21"/>
              </w:rPr>
            </w:pPr>
            <w:r>
              <w:rPr>
                <w:rFonts w:hint="eastAsia" w:ascii="宋体" w:hAnsi="宋体" w:cs="宋体"/>
                <w:bCs/>
                <w:szCs w:val="21"/>
              </w:rPr>
              <w:t>对压力容器、管道应定期检测、检修，对于可能产生的隐患及早排除。</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《昆明云内动力股份有限公司G系列节能环保轻型商用车汽油机产业化建设项目》6.1.2</w:t>
            </w:r>
          </w:p>
        </w:tc>
        <w:tc>
          <w:tcPr>
            <w:tcW w:w="2850" w:type="dxa"/>
            <w:noWrap/>
            <w:vAlign w:val="center"/>
          </w:tcPr>
          <w:p>
            <w:pPr>
              <w:snapToGrid w:val="0"/>
              <w:spacing w:line="260" w:lineRule="exact"/>
              <w:rPr>
                <w:rFonts w:ascii="宋体" w:hAnsi="宋体" w:cs="宋体"/>
                <w:bCs/>
                <w:szCs w:val="21"/>
              </w:rPr>
            </w:pPr>
            <w:r>
              <w:rPr>
                <w:rFonts w:hint="eastAsia" w:ascii="宋体" w:hAnsi="宋体" w:cs="宋体"/>
                <w:bCs/>
                <w:szCs w:val="21"/>
              </w:rPr>
              <w:t>化学品管理工作人员均进行培训，经考核合格后持证上岗。建立有严格的操作规程和制度；编制事故应急救援预案，并进行演练。对压力容器、管道定期检测。</w:t>
            </w:r>
          </w:p>
          <w:p>
            <w:pPr>
              <w:adjustRightInd w:val="0"/>
              <w:jc w:val="left"/>
              <w:rPr>
                <w:rFonts w:ascii="宋体" w:hAnsi="宋体" w:cs="宋体"/>
                <w:bCs/>
                <w:szCs w:val="21"/>
              </w:rPr>
            </w:pP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7</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不同类型的生产工艺应设置分区，减少相互影响。</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《昆明云内动力股份有限公司G系列节能环保轻型商用车汽油机产业化建设项目》6.2.1.1</w:t>
            </w:r>
          </w:p>
        </w:tc>
        <w:tc>
          <w:tcPr>
            <w:tcW w:w="2850" w:type="dxa"/>
            <w:noWrap/>
            <w:vAlign w:val="center"/>
          </w:tcPr>
          <w:p>
            <w:pPr>
              <w:snapToGrid w:val="0"/>
              <w:spacing w:line="260" w:lineRule="exact"/>
              <w:rPr>
                <w:rFonts w:ascii="宋体" w:hAnsi="宋体" w:cs="宋体"/>
                <w:bCs/>
                <w:szCs w:val="21"/>
              </w:rPr>
            </w:pPr>
            <w:r>
              <w:rPr>
                <w:rFonts w:hint="eastAsia" w:ascii="宋体" w:hAnsi="宋体" w:cs="宋体"/>
                <w:bCs/>
                <w:szCs w:val="21"/>
              </w:rPr>
              <w:t>厂房分为机加工区、装配区、涂装区、试验区、物流配送区、成品包装发运区及生产辅房等组成，分区明确，相互影响小。</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0"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8</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生产车间的门与通道的位置、数量及尺寸等，应与工艺设备、人行道、运输方式、运输线路相适应。加工车间设置3条纵向主要通道（通道宽4m），其宽度符合《金属切削加工安全要求》（JB7741-1995）规范要求。车间通道采用绿色标出，车辆运行一般情况下禁止在绿色道路外行走。划定专用人行通道，用黄色线标志，一般情况下禁止人员跨越黄线。</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《昆明云内动力股份有限公司G系列节能环保轻型商用车汽油机产业化建设项目》6.2.1.1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生产车间的门与通道的位置、数量及尺寸等，与工艺设备、人行道、运输方式、运输线路相适应。加工车间设置3条纵向主要通道（通道宽4m），其宽度符合《金属切削加工安全要求》（JB7741-1995）规范要求。车间通道采用绿色标出，车辆运行一般情况下禁止在绿色道路外行走。划定专用人行通道，用黄色线标志，一般情况下禁止人员跨越黄线。</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606"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9</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设备设施的安全距离应按《机械安全避免人体各部位挤压的最小距离》的要求，留有相应宽度和高度的安全过道，防止夹伤、挤伤、碰伤和撞伤。</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《昆明云内动力股份有限公司G系列节能环保轻型商用车汽油机产业化建设项目》6.2.1.1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设备设施的安全距离按《机械安全避免人体各部位挤压的最小距离》的要求，留有相应宽度和高度的安全过道，防止夹伤、挤伤、碰伤和撞伤。</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10</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生产设备的布置应考虑设备端部维修时操作空间以及货物装卸使用起重机的便利性。</w:t>
            </w:r>
          </w:p>
          <w:p>
            <w:pPr>
              <w:adjustRightInd w:val="0"/>
              <w:jc w:val="left"/>
              <w:rPr>
                <w:rFonts w:ascii="宋体" w:hAnsi="宋体" w:cs="宋体"/>
                <w:bCs/>
                <w:szCs w:val="21"/>
              </w:rPr>
            </w:pPr>
            <w:r>
              <w:rPr>
                <w:rFonts w:hint="eastAsia" w:ascii="宋体" w:hAnsi="宋体" w:cs="宋体"/>
                <w:bCs/>
                <w:szCs w:val="21"/>
              </w:rPr>
              <w:t>设备布置应同时考虑物流运输的便利性，以便叉车能够方便叉取零部件。</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《昆明云内动力股份有限公司G系列节能环保轻型商用车汽油机产业化建设项目》6.2.1.1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生产设备的布置已考虑设备端部维修时操作空间，货物装卸使用起重机的便利性以及物流运输的便利性。</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11</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设备布置应尽量做到工人背光操作，高大设备应避免靠近窗户布置，以免影响门窗的开启、通风与采光。</w:t>
            </w:r>
          </w:p>
          <w:p>
            <w:pPr>
              <w:adjustRightInd w:val="0"/>
              <w:jc w:val="left"/>
              <w:rPr>
                <w:rFonts w:ascii="宋体" w:hAnsi="宋体" w:cs="宋体"/>
                <w:bCs/>
                <w:szCs w:val="21"/>
              </w:rPr>
            </w:pPr>
            <w:r>
              <w:rPr>
                <w:rFonts w:hint="eastAsia" w:ascii="宋体" w:hAnsi="宋体" w:cs="宋体"/>
                <w:bCs/>
                <w:szCs w:val="21"/>
              </w:rPr>
              <w:t>有剧烈振动的设备，其操作台和基础应不得与建筑物的柱、墙连在一起，以免影响建筑物的安全。</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《昆明云内动力股份有限公司G系列节能环保轻型商用车汽油机产业化建设项目》6.2.1.1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设备布置做到工人背光操作，高大设备避免靠近窗户布置。有剧烈振动的设备，其操作台和基础未与建筑物的柱、墙连在一起。</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75"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12</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项目购置的生产设备均满足《生产设备安全卫生设计总则》、《机械设备安装工程施工及验收通用规范》、《金属切削机床安全防护通用技术条件》、《电热装置的安全》等规范的要求，使设备具备本质安全性。</w:t>
            </w:r>
          </w:p>
          <w:p>
            <w:pPr>
              <w:adjustRightInd w:val="0"/>
              <w:jc w:val="left"/>
              <w:rPr>
                <w:rFonts w:ascii="宋体" w:hAnsi="宋体" w:cs="宋体"/>
                <w:bCs/>
                <w:szCs w:val="21"/>
              </w:rPr>
            </w:pPr>
            <w:r>
              <w:rPr>
                <w:rFonts w:hint="eastAsia" w:ascii="宋体" w:hAnsi="宋体" w:cs="宋体"/>
                <w:bCs/>
                <w:szCs w:val="21"/>
              </w:rPr>
              <w:t>所选择的设备应来自国内外知名厂家，能保证设备的可靠性。</w:t>
            </w:r>
          </w:p>
          <w:p>
            <w:pPr>
              <w:adjustRightInd w:val="0"/>
              <w:jc w:val="left"/>
              <w:rPr>
                <w:rFonts w:ascii="宋体" w:hAnsi="宋体" w:cs="宋体"/>
                <w:bCs/>
                <w:szCs w:val="21"/>
              </w:rPr>
            </w:pPr>
            <w:r>
              <w:rPr>
                <w:rFonts w:hint="eastAsia" w:ascii="宋体" w:hAnsi="宋体" w:cs="宋体"/>
                <w:bCs/>
                <w:szCs w:val="21"/>
              </w:rPr>
              <w:t>新购置设备本身均应具有必要的防护、净化、减振、消音、保险、联锁、信号、监测等可靠的安全、卫生装置。</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项目购置的生产设备均满足《生产设备安全卫生设计总则》、《机械设备安装工程施工及验收通用规范》、《金属切削机床安全防护通用技术条件》、《电热装置的安全》等规范的要求。所选择的设备来自国内外知名厂家。</w:t>
            </w:r>
          </w:p>
          <w:p>
            <w:pPr>
              <w:adjustRightInd w:val="0"/>
              <w:jc w:val="left"/>
              <w:rPr>
                <w:rFonts w:ascii="宋体" w:hAnsi="宋体" w:cs="宋体"/>
                <w:bCs/>
                <w:szCs w:val="21"/>
              </w:rPr>
            </w:pPr>
            <w:r>
              <w:rPr>
                <w:rFonts w:hint="eastAsia" w:ascii="宋体" w:hAnsi="宋体" w:cs="宋体"/>
                <w:bCs/>
                <w:szCs w:val="21"/>
              </w:rPr>
              <w:t>新购置设备本身具有必要的防护、净化、减振、消音、保险、联锁、信号、监测等可靠的安全、卫生装置。</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13</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设备应选用自动化水平高的设备，采用自动控制或远程控制。</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hAnsi="宋体"/>
                <w:sz w:val="24"/>
              </w:rPr>
              <w:t>本项目设备自动化水平高，采用自动控制或远程控制，减少了人员进入危险区域的几率。</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14</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起重机、空压罐、压缩空气管道、叉车、气瓶等特种设备应选用具有特种设备许可证厂家生产的，经检验合格才投入使用。</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本项目均采购获得特种设备许可证厂家的起重机、空压罐、压缩空气管道、叉车、气瓶等特种设备，设备出厂需经检验合格。空压罐、气瓶的设计、制造满足《压力容器安全监察规程》。</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9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15</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电气设备应选用具有资质的生产厂家按相关规范、技术标准生产的合格的电气产品。</w:t>
            </w:r>
          </w:p>
          <w:p>
            <w:pPr>
              <w:adjustRightInd w:val="0"/>
              <w:jc w:val="left"/>
              <w:rPr>
                <w:rFonts w:ascii="宋体" w:hAnsi="宋体" w:cs="宋体"/>
                <w:bCs/>
                <w:szCs w:val="21"/>
              </w:rPr>
            </w:pP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电气设备选用具有资质的生产厂家按相关规范、技术标准生产的合格的电气产品。</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60"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16</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各种柜、箱体、电动机壳及其它用电电器机壳均应安全接地。</w:t>
            </w:r>
          </w:p>
          <w:p>
            <w:pPr>
              <w:adjustRightInd w:val="0"/>
              <w:jc w:val="left"/>
              <w:rPr>
                <w:rFonts w:ascii="宋体" w:hAnsi="宋体" w:cs="宋体"/>
                <w:bCs/>
                <w:szCs w:val="21"/>
              </w:rPr>
            </w:pPr>
            <w:r>
              <w:rPr>
                <w:rFonts w:hint="eastAsia" w:ascii="宋体" w:hAnsi="宋体" w:cs="宋体"/>
                <w:bCs/>
                <w:szCs w:val="21"/>
              </w:rPr>
              <w:t>使用、储存易燃物料的场所，应根据（GB 50058）《爆炸和火灾危险环境电力装置设计规范》、（*GB12158）《防止静电事故通用导则》、（AQ3009）《危险场所电气防爆安全规范》、（GB 3836.1）《爆炸性环境第1部分：设备通用要求》选用防爆电器。</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各种柜、箱体、电动机壳及其它用电电器机壳均安全接地。使用、储存易燃物料的场所根据相关规范要求选用防爆电器。</w:t>
            </w:r>
          </w:p>
          <w:p>
            <w:pPr>
              <w:adjustRightInd w:val="0"/>
              <w:jc w:val="left"/>
              <w:rPr>
                <w:rFonts w:ascii="宋体" w:hAnsi="宋体" w:cs="宋体"/>
                <w:bCs/>
                <w:szCs w:val="21"/>
              </w:rPr>
            </w:pP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02"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17</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补漆室应设置安全通风装置和去除漆雾装置。喷漆作业人员工作时，工作场所空气中有毒物质容许浓度符合（GB 6514）《涂装作业安全规程涂漆工艺安全及其通风净化》的要求。</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补漆室设置安全通风装置和去除漆雾装置。喷漆作业人员按要求进行工作。</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75"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18</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储漆间应设置数值型防爆可燃气体检测报警仪、设置声光报警、二级报警，并将报警信号引至人员值班点，并与防爆事故风机连锁。</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储漆间设置数值型防爆可燃气体检测报警仪、设置声光报警、二级报警，并将报警信号引至人员值班点，并与防爆事故风机连锁。</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24"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19</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喷漆线相应部位应设温度传感器，并设紧急制动装置。</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喷漆线相应部位设温度传感器，并设紧急制动装置。</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27"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20</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有人体接触的机械设备应设置安全防护装置：安全联锁装置及防护装置的设置均有效、牢靠、操作方便。防护装置与设备危险部位间的防护安全距离均符合相关规定。</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有人体接触的机械设备设置安全防护装置，防护装置与设备危险部位间的防护安全距离均符合相关规定。</w:t>
            </w:r>
          </w:p>
          <w:p>
            <w:pPr>
              <w:adjustRightInd w:val="0"/>
              <w:jc w:val="left"/>
              <w:rPr>
                <w:rFonts w:ascii="宋体" w:hAnsi="宋体" w:cs="宋体"/>
                <w:bCs/>
                <w:szCs w:val="21"/>
              </w:rPr>
            </w:pP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21</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所有机械旋转和其它运动的外露部位均应设置安装牢靠结构合理结实的安全防护罩或安全防护隔离栏。人手直接频繁接触的机械，设置有完好紧急制动装置，该制动钮位置必须使操作者在机械作业活动范围内随时可触及到；机械设备各传动部位必须有可靠防护装置。</w:t>
            </w:r>
          </w:p>
          <w:p>
            <w:pPr>
              <w:adjustRightInd w:val="0"/>
              <w:jc w:val="left"/>
              <w:rPr>
                <w:rFonts w:ascii="宋体" w:hAnsi="宋体" w:cs="宋体"/>
                <w:bCs/>
                <w:szCs w:val="21"/>
              </w:rPr>
            </w:pPr>
            <w:r>
              <w:rPr>
                <w:rFonts w:hint="eastAsia" w:ascii="宋体" w:hAnsi="宋体" w:cs="宋体"/>
                <w:bCs/>
                <w:szCs w:val="21"/>
              </w:rPr>
              <w:t>凡人员易触及的可动零部件，应尽可能封闭或隔离；对于操作人员在设备运行时可能触及的可动零部件，配置有必要的安全防护装置。</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《昆明云内动力股份有限公司G系列节能环保轻型商用车汽油机产业化建设项目》6.2.2.2</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机械设备各传动部位设置有可靠防护装置。凡人员易触及的可动零部件，尽可能封闭或隔离；对于操作人员在设备运行时可能触及的可动零部件，配置有必要的安全防护装置。</w:t>
            </w:r>
          </w:p>
          <w:p>
            <w:pPr>
              <w:adjustRightInd w:val="0"/>
              <w:jc w:val="left"/>
              <w:rPr>
                <w:rFonts w:ascii="宋体" w:hAnsi="宋体" w:cs="宋体"/>
                <w:bCs/>
                <w:szCs w:val="21"/>
              </w:rPr>
            </w:pP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22</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机械设备易发生危险的部位应设安全标志或涂有安全色，提示操作人员注意。安全标志和安全色符合GBl8209.1《机械安全指示标志和操作第1部分：关于视觉、听觉和触觉信号的要求》、GBl8209.1《机械安全指示标志和操作第2部分：标志要求要求》及GB2893《安全色》的规定。常用的安全标志是警告标志、禁止标志和指令标志。警告标志与机械安全有关的警告标志有：注意安全、当心触电、当心机械伤人、当心扎脚，当心车辆等。</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《昆明云内动力股份有限公司G系列节能环保轻型商用车汽油机产业化建设项目》6.2.2.2</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机械设备易发生危险的部位设安全标志或涂有安全色。</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39"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23</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车间应严禁烟火及一切明火，应设防火负责人、防火制度和灭火器材。</w:t>
            </w:r>
          </w:p>
          <w:p>
            <w:pPr>
              <w:adjustRightInd w:val="0"/>
              <w:jc w:val="left"/>
              <w:rPr>
                <w:rFonts w:ascii="宋体" w:hAnsi="宋体" w:cs="宋体"/>
                <w:bCs/>
                <w:szCs w:val="21"/>
              </w:rPr>
            </w:pP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《昆明云内动力股份有限公司G系列节能环保轻型商用车汽油机产业化建设项目》6.2.3.1</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车间设有防火负责人、防火制度和灭火器材。</w:t>
            </w:r>
          </w:p>
        </w:tc>
        <w:tc>
          <w:tcPr>
            <w:tcW w:w="579" w:type="dxa"/>
            <w:noWrap/>
            <w:vAlign w:val="center"/>
          </w:tcPr>
          <w:p>
            <w:pPr>
              <w:adjustRightInd w:val="0"/>
              <w:jc w:val="center"/>
              <w:rPr>
                <w:rFonts w:ascii="宋体" w:hAnsi="宋体" w:cs="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6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24</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企业应按照《中华人民共和国职业病防治法》的规定，制订如下几方面的单列管理制度：职业卫生培训制度；职业卫生档案管理制度；职业卫生经费管理制度；个人职业病防护用品管理制度；职业病危害申报制度等。</w:t>
            </w:r>
          </w:p>
          <w:p>
            <w:pPr>
              <w:adjustRightInd w:val="0"/>
              <w:jc w:val="left"/>
              <w:rPr>
                <w:rFonts w:ascii="宋体" w:hAnsi="宋体" w:cs="宋体"/>
                <w:bCs/>
                <w:szCs w:val="21"/>
              </w:rPr>
            </w:pPr>
            <w:r>
              <w:rPr>
                <w:rFonts w:hint="eastAsia" w:ascii="宋体" w:hAnsi="宋体" w:cs="宋体"/>
                <w:bCs/>
                <w:szCs w:val="21"/>
              </w:rPr>
              <w:t>建立健全职工职业健康监护档案，应包括以下内容：劳动者职业史、既往史和职业病危害接触史；相应作业场所职业病危害因素检测结果；职业健康检查结果及处理情况；职业病诊疗等劳动者健康资料。</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《昆明云内动力股份有限公司G系列节能环保轻型商用车汽油机产业化建设项目》6.3.9</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企业制订有职业卫生培训制度；职业卫生档案管理制度；职业卫生经费管理制度；个人职业病防护用品管理制度；职业病危害申报制度等。</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6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25</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建筑物应按消防规范要求设置安全出口、安全通道，以方便火灾事故发生时人员疏散和火灾施救，符合消防规范要求。</w:t>
            </w:r>
          </w:p>
          <w:p>
            <w:pPr>
              <w:adjustRightInd w:val="0"/>
              <w:jc w:val="left"/>
              <w:rPr>
                <w:rFonts w:ascii="宋体" w:hAnsi="宋体" w:cs="宋体"/>
                <w:bCs/>
                <w:szCs w:val="21"/>
              </w:rPr>
            </w:pPr>
            <w:r>
              <w:rPr>
                <w:rFonts w:hint="eastAsia" w:ascii="宋体" w:hAnsi="宋体" w:cs="宋体"/>
                <w:bCs/>
                <w:szCs w:val="21"/>
              </w:rPr>
              <w:t>各厂房室内钢结构受力构件应按规范采用防火涂料做保护层。</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《昆明云内动力股份有限公司G系列节能环保轻型商用车汽油机产业化建设项目》6.4.2</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厂房设置有安全出口、安全通道，各厂房室内钢结构受力构件均按规范采用防火涂料做保护层。</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6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26</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在储漆间、调漆间、辅料间等甲类房间应设置气体报警控制器、危险气体探测器、手动报警设备、消防通信及警报设备。气体报警控制器通过联网线与厂区火灾报警控制器联通，上传报警及动作信号。</w:t>
            </w:r>
          </w:p>
          <w:p>
            <w:pPr>
              <w:adjustRightInd w:val="0"/>
              <w:jc w:val="left"/>
              <w:rPr>
                <w:rFonts w:ascii="宋体" w:hAnsi="宋体" w:cs="宋体"/>
                <w:bCs/>
                <w:szCs w:val="21"/>
              </w:rPr>
            </w:pPr>
            <w:r>
              <w:rPr>
                <w:rFonts w:hint="eastAsia" w:ascii="宋体" w:hAnsi="宋体" w:cs="宋体"/>
                <w:bCs/>
                <w:szCs w:val="21"/>
              </w:rPr>
              <w:t>在油料间（丙类）、变配电室（无气体灭火）等应设置感烟探测器、火焰探测器、手动报警设备、声光报警器、消防应急广播等设备。</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《昆明云内动力股份有限公司G系列节能环保轻型商用车汽油机产业化建设项目》6.4.2</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储漆间、调漆间、辅料间、油料间（丙类）、变配电室（无气体灭火）已按要求设置火灾报警。</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6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27</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各种管道表面或保温层表面应按规定刷基本识别色、识别符号和安全标识，应有表示介质流动方向的箭头、介质名及危险标识称等标识。管道刷色、色环以及管道标识设置均应符合现行国家标准 GB 7231《工业管道的基本识别色、识别符号和安全标识》中的规定。</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《昆明云内动力股份有限公司G系列节能环保轻型商用车汽油机产业化建设项目》6.4.3</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各种管道表面或保温层表面按要求刷基本识别色、识别符号和安全标识。</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61" w:hRule="atLeast"/>
          <w:tblHeader/>
          <w:jc w:val="center"/>
        </w:trPr>
        <w:tc>
          <w:tcPr>
            <w:tcW w:w="615" w:type="dxa"/>
            <w:noWrap/>
            <w:vAlign w:val="center"/>
          </w:tcPr>
          <w:p>
            <w:pPr>
              <w:adjustRightInd w:val="0"/>
              <w:jc w:val="center"/>
              <w:rPr>
                <w:rFonts w:ascii="宋体" w:hAnsi="宋体" w:cs="宋体"/>
                <w:bCs/>
                <w:szCs w:val="21"/>
              </w:rPr>
            </w:pPr>
            <w:r>
              <w:rPr>
                <w:rFonts w:hint="eastAsia" w:ascii="宋体" w:hAnsi="宋体" w:cs="宋体"/>
                <w:bCs/>
                <w:szCs w:val="21"/>
              </w:rPr>
              <w:t>28</w:t>
            </w:r>
          </w:p>
        </w:tc>
        <w:tc>
          <w:tcPr>
            <w:tcW w:w="3249" w:type="dxa"/>
            <w:noWrap/>
            <w:vAlign w:val="center"/>
          </w:tcPr>
          <w:p>
            <w:pPr>
              <w:adjustRightInd w:val="0"/>
              <w:jc w:val="left"/>
              <w:rPr>
                <w:rFonts w:ascii="宋体" w:hAnsi="宋体" w:cs="宋体"/>
                <w:bCs/>
                <w:szCs w:val="21"/>
              </w:rPr>
            </w:pPr>
            <w:r>
              <w:rPr>
                <w:rFonts w:hint="eastAsia" w:ascii="宋体" w:hAnsi="宋体" w:cs="宋体"/>
                <w:bCs/>
                <w:szCs w:val="21"/>
              </w:rPr>
              <w:t>制定检维修安全管理制定、作业安全管理制度。制定检修、维修计划，并按照计划实施检修、维修作业；检修结束，必须进行验收。加强维修力量，特别是仪器、仪表的维修能力。仪表和安全检测装置要有专人负责，保证运行正常；各种仪器、仪表应按要求定期计量，并做好登记。检修前，必须对参加检修作业的人员进行安全教育和施工现场安全交底。应在检维修、施工、吊装、高空等作业现场设置警戒区域；机械设备的防护、保险、信号等装置完好。按维护检修计划定期对设备设施进行检修。检修过程中，必须进行危险源辨识，制定控制措施，并进行监督检查。检修完毕后应按标准进行调试、验收。及时恢复安全装置。</w:t>
            </w:r>
          </w:p>
        </w:tc>
        <w:tc>
          <w:tcPr>
            <w:tcW w:w="2391" w:type="dxa"/>
            <w:noWrap/>
            <w:vAlign w:val="center"/>
          </w:tcPr>
          <w:p>
            <w:pPr>
              <w:adjustRightInd w:val="0"/>
              <w:jc w:val="center"/>
              <w:rPr>
                <w:rFonts w:ascii="宋体" w:hAnsi="宋体" w:cs="宋体"/>
                <w:bCs/>
                <w:szCs w:val="21"/>
              </w:rPr>
            </w:pPr>
            <w:r>
              <w:rPr>
                <w:rFonts w:hint="eastAsia" w:ascii="宋体" w:hAnsi="宋体" w:cs="宋体"/>
                <w:bCs/>
                <w:szCs w:val="21"/>
              </w:rPr>
              <w:t>《昆明云内动力股份有限公司G系列节能环保轻型商用车汽油机产业化建设项目》6.7</w:t>
            </w:r>
          </w:p>
        </w:tc>
        <w:tc>
          <w:tcPr>
            <w:tcW w:w="2850" w:type="dxa"/>
            <w:noWrap/>
            <w:vAlign w:val="center"/>
          </w:tcPr>
          <w:p>
            <w:pPr>
              <w:adjustRightInd w:val="0"/>
              <w:jc w:val="left"/>
              <w:rPr>
                <w:rFonts w:ascii="宋体" w:hAnsi="宋体" w:cs="宋体"/>
                <w:bCs/>
                <w:szCs w:val="21"/>
              </w:rPr>
            </w:pPr>
            <w:r>
              <w:rPr>
                <w:rFonts w:hint="eastAsia" w:ascii="宋体" w:hAnsi="宋体" w:cs="宋体"/>
                <w:bCs/>
                <w:szCs w:val="21"/>
              </w:rPr>
              <w:t>检维修作业制订有安全管理制度。</w:t>
            </w:r>
          </w:p>
        </w:tc>
        <w:tc>
          <w:tcPr>
            <w:tcW w:w="579" w:type="dxa"/>
            <w:noWrap/>
            <w:vAlign w:val="center"/>
          </w:tcPr>
          <w:p>
            <w:pPr>
              <w:adjustRightInd w:val="0"/>
              <w:jc w:val="center"/>
              <w:rPr>
                <w:rFonts w:ascii="宋体" w:hAnsi="宋体" w:cs="宋体"/>
                <w:bCs/>
                <w:szCs w:val="21"/>
              </w:rPr>
            </w:pPr>
            <w:r>
              <w:rPr>
                <w:rFonts w:hint="eastAsia" w:ascii="宋体" w:hAnsi="宋体" w:cs="宋体"/>
                <w:bCs/>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6" w:hRule="atLeast"/>
          <w:tblHeader/>
          <w:jc w:val="center"/>
        </w:trPr>
        <w:tc>
          <w:tcPr>
            <w:tcW w:w="615" w:type="dxa"/>
            <w:noWrap/>
            <w:vAlign w:val="center"/>
          </w:tcPr>
          <w:p>
            <w:pPr>
              <w:adjustRightInd w:val="0"/>
              <w:jc w:val="center"/>
              <w:rPr>
                <w:rFonts w:hint="default" w:ascii="宋体" w:hAnsi="宋体" w:eastAsia="宋体" w:cs="宋体"/>
                <w:bCs/>
                <w:color w:val="0000FF"/>
                <w:szCs w:val="21"/>
                <w:lang w:val="en-US" w:eastAsia="zh-CN"/>
              </w:rPr>
            </w:pPr>
            <w:r>
              <w:rPr>
                <w:rFonts w:hint="eastAsia" w:ascii="宋体" w:hAnsi="宋体" w:cs="宋体"/>
                <w:bCs/>
                <w:color w:val="0000FF"/>
                <w:szCs w:val="21"/>
                <w:lang w:val="en-US" w:eastAsia="zh-CN"/>
              </w:rPr>
              <w:t>29</w:t>
            </w:r>
          </w:p>
        </w:tc>
        <w:tc>
          <w:tcPr>
            <w:tcW w:w="3249" w:type="dxa"/>
            <w:noWrap/>
            <w:vAlign w:val="center"/>
          </w:tcPr>
          <w:p>
            <w:pPr>
              <w:adjustRightInd w:val="0"/>
              <w:jc w:val="left"/>
              <w:rPr>
                <w:rFonts w:hint="eastAsia" w:ascii="宋体" w:hAnsi="宋体" w:eastAsia="宋体" w:cs="宋体"/>
                <w:bCs/>
                <w:color w:val="0000FF"/>
                <w:szCs w:val="21"/>
                <w:lang w:val="en-US" w:eastAsia="zh-CN"/>
              </w:rPr>
            </w:pPr>
            <w:r>
              <w:rPr>
                <w:rFonts w:hint="eastAsia" w:ascii="宋体" w:hAnsi="宋体" w:cs="宋体"/>
                <w:bCs/>
                <w:color w:val="0000FF"/>
                <w:szCs w:val="21"/>
              </w:rPr>
              <w:t>重点要害部位、主要设备设施采用视频监控</w:t>
            </w:r>
            <w:r>
              <w:rPr>
                <w:rFonts w:hint="eastAsia" w:ascii="宋体" w:hAnsi="宋体" w:cs="宋体"/>
                <w:bCs/>
                <w:color w:val="0000FF"/>
                <w:szCs w:val="21"/>
                <w:lang w:eastAsia="zh-CN"/>
              </w:rPr>
              <w:t>。</w:t>
            </w:r>
          </w:p>
        </w:tc>
        <w:tc>
          <w:tcPr>
            <w:tcW w:w="2391" w:type="dxa"/>
            <w:noWrap/>
            <w:vAlign w:val="center"/>
          </w:tcPr>
          <w:p>
            <w:pPr>
              <w:adjustRightInd w:val="0"/>
              <w:jc w:val="center"/>
              <w:rPr>
                <w:rFonts w:hint="default" w:ascii="宋体" w:hAnsi="宋体" w:eastAsia="宋体" w:cs="宋体"/>
                <w:bCs/>
                <w:color w:val="0000FF"/>
                <w:szCs w:val="21"/>
                <w:lang w:val="en-US" w:eastAsia="zh-CN"/>
              </w:rPr>
            </w:pPr>
            <w:r>
              <w:rPr>
                <w:rFonts w:hint="eastAsia" w:ascii="宋体" w:hAnsi="宋体" w:cs="宋体"/>
                <w:bCs/>
                <w:color w:val="0000FF"/>
                <w:szCs w:val="21"/>
              </w:rPr>
              <w:t>《昆明云内动力股份有限公司G系列节能环保轻型商用车汽油机产业化建设项目》</w:t>
            </w:r>
            <w:r>
              <w:rPr>
                <w:rFonts w:hint="eastAsia" w:ascii="宋体" w:hAnsi="宋体" w:cs="宋体"/>
                <w:bCs/>
                <w:color w:val="0000FF"/>
                <w:szCs w:val="21"/>
                <w:lang w:val="en-US" w:eastAsia="zh-CN"/>
              </w:rPr>
              <w:t>5.4</w:t>
            </w:r>
          </w:p>
        </w:tc>
        <w:tc>
          <w:tcPr>
            <w:tcW w:w="2850" w:type="dxa"/>
            <w:noWrap/>
            <w:vAlign w:val="center"/>
          </w:tcPr>
          <w:p>
            <w:pPr>
              <w:adjustRightInd w:val="0"/>
              <w:jc w:val="left"/>
              <w:rPr>
                <w:rFonts w:hint="default" w:ascii="宋体" w:hAnsi="宋体" w:eastAsia="宋体" w:cs="宋体"/>
                <w:bCs/>
                <w:color w:val="0000FF"/>
                <w:szCs w:val="21"/>
                <w:lang w:val="en-US" w:eastAsia="zh-CN"/>
              </w:rPr>
            </w:pPr>
            <w:r>
              <w:rPr>
                <w:rFonts w:hint="eastAsia" w:ascii="宋体" w:hAnsi="宋体" w:cs="宋体"/>
                <w:bCs/>
                <w:color w:val="0000FF"/>
                <w:szCs w:val="21"/>
              </w:rPr>
              <w:t>发动机热试台架</w:t>
            </w:r>
            <w:r>
              <w:rPr>
                <w:rFonts w:hint="eastAsia" w:ascii="宋体" w:hAnsi="宋体" w:cs="宋体"/>
                <w:bCs/>
                <w:color w:val="0000FF"/>
                <w:szCs w:val="21"/>
                <w:lang w:val="en-US" w:eastAsia="zh-CN"/>
              </w:rPr>
              <w:t>设置视频监控</w:t>
            </w:r>
            <w:r>
              <w:rPr>
                <w:rFonts w:hint="eastAsia" w:ascii="宋体" w:hAnsi="宋体" w:cs="宋体"/>
                <w:bCs/>
                <w:color w:val="0000FF"/>
                <w:szCs w:val="21"/>
              </w:rPr>
              <w:t>，并将信号引入控制室。</w:t>
            </w:r>
            <w:r>
              <w:rPr>
                <w:rFonts w:hint="eastAsia" w:ascii="宋体" w:hAnsi="宋体" w:cs="宋体"/>
                <w:bCs/>
                <w:color w:val="0000FF"/>
                <w:szCs w:val="21"/>
                <w:lang w:val="en-US" w:eastAsia="zh-CN"/>
              </w:rPr>
              <w:t>成品库设置视频监控。</w:t>
            </w:r>
          </w:p>
        </w:tc>
        <w:tc>
          <w:tcPr>
            <w:tcW w:w="579" w:type="dxa"/>
            <w:noWrap/>
            <w:vAlign w:val="center"/>
          </w:tcPr>
          <w:p>
            <w:pPr>
              <w:adjustRightInd w:val="0"/>
              <w:jc w:val="center"/>
              <w:rPr>
                <w:rFonts w:hint="eastAsia" w:ascii="宋体" w:hAnsi="宋体" w:eastAsia="宋体" w:cs="宋体"/>
                <w:bCs/>
                <w:color w:val="0000FF"/>
                <w:szCs w:val="21"/>
                <w:lang w:val="en-US" w:eastAsia="zh-CN"/>
              </w:rPr>
            </w:pPr>
            <w:r>
              <w:rPr>
                <w:rFonts w:hint="eastAsia" w:ascii="宋体" w:hAnsi="宋体" w:cs="宋体"/>
                <w:bCs/>
                <w:color w:val="0000FF"/>
                <w:szCs w:val="21"/>
                <w:lang w:val="en-US" w:eastAsia="zh-CN"/>
              </w:rPr>
              <w:t>符合</w:t>
            </w:r>
          </w:p>
        </w:tc>
      </w:tr>
    </w:tbl>
    <w:p/>
    <w:p>
      <w:pPr>
        <w:pStyle w:val="5"/>
        <w:keepNext w:val="0"/>
        <w:keepLines w:val="0"/>
        <w:snapToGrid w:val="0"/>
        <w:spacing w:before="0" w:after="0" w:line="360" w:lineRule="auto"/>
        <w:rPr>
          <w:rFonts w:ascii="宋体" w:hAnsi="宋体" w:cs="宋体"/>
          <w:sz w:val="28"/>
          <w:szCs w:val="28"/>
        </w:rPr>
      </w:pPr>
      <w:bookmarkStart w:id="539" w:name="_Toc15287"/>
      <w:bookmarkStart w:id="540" w:name="_Toc25705"/>
      <w:bookmarkStart w:id="541" w:name="_Toc19960"/>
      <w:r>
        <w:rPr>
          <w:rFonts w:hint="eastAsia" w:ascii="宋体" w:hAnsi="宋体" w:cs="宋体"/>
          <w:sz w:val="28"/>
          <w:szCs w:val="28"/>
        </w:rPr>
        <w:t>5.4.2</w:t>
      </w:r>
      <w:r>
        <w:rPr>
          <w:rFonts w:hint="eastAsia" w:ascii="宋体" w:hAnsi="宋体" w:cs="宋体"/>
          <w:sz w:val="28"/>
          <w:szCs w:val="28"/>
          <w:lang w:val="en-US" w:eastAsia="zh-CN"/>
        </w:rPr>
        <w:t xml:space="preserve"> </w:t>
      </w:r>
      <w:r>
        <w:rPr>
          <w:rFonts w:hint="eastAsia" w:ascii="宋体" w:hAnsi="宋体" w:cs="宋体"/>
          <w:sz w:val="28"/>
          <w:szCs w:val="28"/>
        </w:rPr>
        <w:t>单元小结</w:t>
      </w:r>
      <w:bookmarkEnd w:id="539"/>
      <w:bookmarkEnd w:id="540"/>
      <w:bookmarkEnd w:id="541"/>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根据《昆明云内动力股份有限公司G系列节能环保轻型商用车汽油机产业化建设项目》报告 ，并结合项目建设实际，以安全检查表法进行评价，共检查项目2</w:t>
      </w:r>
      <w:r>
        <w:rPr>
          <w:rFonts w:hint="eastAsia"/>
          <w:snapToGrid w:val="0"/>
          <w:kern w:val="0"/>
          <w:sz w:val="28"/>
          <w:szCs w:val="28"/>
          <w:lang w:val="en-US" w:eastAsia="zh-CN"/>
        </w:rPr>
        <w:t>9</w:t>
      </w:r>
      <w:r>
        <w:rPr>
          <w:rFonts w:hint="eastAsia"/>
          <w:snapToGrid w:val="0"/>
          <w:kern w:val="0"/>
          <w:sz w:val="28"/>
          <w:szCs w:val="28"/>
        </w:rPr>
        <w:t>项，全部符合设计要求。</w:t>
      </w:r>
    </w:p>
    <w:p>
      <w:pPr>
        <w:pStyle w:val="4"/>
        <w:keepNext w:val="0"/>
        <w:keepLines w:val="0"/>
        <w:snapToGrid w:val="0"/>
        <w:spacing w:before="0" w:after="0" w:line="360" w:lineRule="auto"/>
        <w:jc w:val="left"/>
        <w:rPr>
          <w:rFonts w:ascii="宋体" w:hAnsi="宋体" w:cs="宋体"/>
          <w:snapToGrid/>
          <w:kern w:val="2"/>
        </w:rPr>
      </w:pPr>
      <w:bookmarkStart w:id="542" w:name="_Toc11773"/>
      <w:bookmarkStart w:id="543" w:name="_Toc11842"/>
      <w:r>
        <w:rPr>
          <w:rFonts w:hint="eastAsia" w:ascii="宋体" w:hAnsi="宋体" w:cs="宋体"/>
          <w:snapToGrid/>
          <w:kern w:val="2"/>
        </w:rPr>
        <w:t>5.5</w:t>
      </w:r>
      <w:bookmarkEnd w:id="536"/>
      <w:r>
        <w:rPr>
          <w:rFonts w:hint="eastAsia" w:ascii="宋体" w:hAnsi="宋体" w:cs="宋体"/>
          <w:snapToGrid/>
          <w:kern w:val="2"/>
          <w:lang w:val="en-US" w:eastAsia="zh-CN"/>
        </w:rPr>
        <w:t xml:space="preserve"> </w:t>
      </w:r>
      <w:r>
        <w:rPr>
          <w:rFonts w:hint="eastAsia" w:ascii="宋体" w:hAnsi="宋体" w:cs="宋体"/>
          <w:snapToGrid/>
          <w:kern w:val="2"/>
        </w:rPr>
        <w:t>公辅设施分析评价单元</w:t>
      </w:r>
      <w:bookmarkEnd w:id="542"/>
      <w:bookmarkEnd w:id="543"/>
    </w:p>
    <w:p>
      <w:pPr>
        <w:pStyle w:val="5"/>
        <w:keepNext w:val="0"/>
        <w:keepLines w:val="0"/>
        <w:snapToGrid w:val="0"/>
        <w:spacing w:before="0" w:after="0" w:line="360" w:lineRule="auto"/>
        <w:rPr>
          <w:rFonts w:ascii="宋体" w:hAnsi="宋体" w:cs="宋体"/>
          <w:sz w:val="28"/>
          <w:szCs w:val="28"/>
        </w:rPr>
      </w:pPr>
      <w:bookmarkStart w:id="544" w:name="_Toc525114910"/>
      <w:bookmarkStart w:id="545" w:name="_Toc6354"/>
      <w:bookmarkStart w:id="546" w:name="_Toc367707488"/>
      <w:bookmarkStart w:id="547" w:name="_Toc16007"/>
      <w:bookmarkStart w:id="548" w:name="_Toc400545700"/>
      <w:bookmarkStart w:id="549" w:name="_Toc23537"/>
      <w:bookmarkStart w:id="550" w:name="_Toc440009136"/>
      <w:bookmarkStart w:id="551" w:name="_Toc381868367"/>
      <w:bookmarkStart w:id="552" w:name="_Toc487575303"/>
      <w:bookmarkStart w:id="553" w:name="_Toc367715505"/>
      <w:bookmarkStart w:id="554" w:name="_Toc367717429"/>
      <w:bookmarkStart w:id="555" w:name="_Toc527470785"/>
      <w:bookmarkStart w:id="556" w:name="_Toc502479939"/>
      <w:bookmarkStart w:id="557" w:name="_Toc434849910"/>
      <w:r>
        <w:rPr>
          <w:rFonts w:hint="eastAsia" w:ascii="宋体" w:hAnsi="宋体" w:cs="宋体"/>
          <w:sz w:val="28"/>
          <w:szCs w:val="28"/>
        </w:rPr>
        <w:t>5.5.1</w:t>
      </w:r>
      <w:r>
        <w:rPr>
          <w:rFonts w:hint="eastAsia" w:ascii="宋体" w:hAnsi="宋体" w:cs="宋体"/>
          <w:sz w:val="28"/>
          <w:szCs w:val="28"/>
          <w:lang w:val="en-US" w:eastAsia="zh-CN"/>
        </w:rPr>
        <w:t xml:space="preserve"> </w:t>
      </w:r>
      <w:r>
        <w:rPr>
          <w:rFonts w:hint="eastAsia" w:ascii="宋体" w:hAnsi="宋体" w:cs="宋体"/>
          <w:sz w:val="28"/>
          <w:szCs w:val="28"/>
        </w:rPr>
        <w:t>供配电系统评价子单元</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本节主要依据《低压配电设计规范》（GB50054-2011）、《供配电系统设计规范》（GB50052-2009）、</w:t>
      </w:r>
      <w:r>
        <w:rPr>
          <w:rFonts w:hint="eastAsia"/>
          <w:snapToGrid w:val="0"/>
          <w:kern w:val="0"/>
          <w:sz w:val="28"/>
          <w:szCs w:val="28"/>
          <w:lang w:eastAsia="zh-CN"/>
        </w:rPr>
        <w:t>《20kv及以下变电所设计规范》（GB 50053-2013）</w:t>
      </w:r>
      <w:r>
        <w:rPr>
          <w:rFonts w:hint="eastAsia"/>
          <w:snapToGrid w:val="0"/>
          <w:kern w:val="0"/>
          <w:sz w:val="28"/>
          <w:szCs w:val="28"/>
        </w:rPr>
        <w:t>、《建筑物防雷设计规范》（GB 50057-2010）等法律、法规、标准和规范的要求，用安全检查表，对本项目供配电系统进行分析评价，检查结果见表。</w:t>
      </w:r>
    </w:p>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表5.5-1 供配电系统检查表</w:t>
      </w:r>
    </w:p>
    <w:tbl>
      <w:tblPr>
        <w:tblStyle w:val="52"/>
        <w:tblW w:w="9510" w:type="dxa"/>
        <w:tblInd w:w="-14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5"/>
        <w:gridCol w:w="3645"/>
        <w:gridCol w:w="2130"/>
        <w:gridCol w:w="2535"/>
        <w:gridCol w:w="7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5" w:hRule="atLeast"/>
          <w:tblHeader/>
        </w:trPr>
        <w:tc>
          <w:tcPr>
            <w:tcW w:w="435" w:type="dxa"/>
            <w:noWrap/>
            <w:vAlign w:val="center"/>
          </w:tcPr>
          <w:p>
            <w:pPr>
              <w:adjustRightInd w:val="0"/>
              <w:snapToGrid w:val="0"/>
              <w:jc w:val="center"/>
              <w:rPr>
                <w:rFonts w:ascii="宋体" w:hAnsi="宋体" w:cs="宋体"/>
                <w:b/>
                <w:szCs w:val="21"/>
              </w:rPr>
            </w:pPr>
            <w:r>
              <w:rPr>
                <w:rFonts w:hint="eastAsia" w:ascii="宋体" w:hAnsi="宋体" w:cs="宋体"/>
                <w:b/>
                <w:szCs w:val="21"/>
              </w:rPr>
              <w:t>序号</w:t>
            </w:r>
          </w:p>
        </w:tc>
        <w:tc>
          <w:tcPr>
            <w:tcW w:w="3645" w:type="dxa"/>
            <w:noWrap/>
            <w:vAlign w:val="center"/>
          </w:tcPr>
          <w:p>
            <w:pPr>
              <w:adjustRightInd w:val="0"/>
              <w:snapToGrid w:val="0"/>
              <w:jc w:val="center"/>
              <w:rPr>
                <w:rFonts w:ascii="宋体" w:hAnsi="宋体" w:cs="宋体"/>
                <w:b/>
                <w:szCs w:val="21"/>
              </w:rPr>
            </w:pPr>
            <w:r>
              <w:rPr>
                <w:rFonts w:hint="eastAsia" w:ascii="宋体" w:hAnsi="宋体" w:cs="宋体"/>
                <w:b/>
                <w:szCs w:val="21"/>
              </w:rPr>
              <w:t>检查内容</w:t>
            </w:r>
          </w:p>
        </w:tc>
        <w:tc>
          <w:tcPr>
            <w:tcW w:w="2130" w:type="dxa"/>
            <w:noWrap/>
            <w:vAlign w:val="center"/>
          </w:tcPr>
          <w:p>
            <w:pPr>
              <w:adjustRightInd w:val="0"/>
              <w:snapToGrid w:val="0"/>
              <w:jc w:val="center"/>
              <w:rPr>
                <w:rFonts w:ascii="宋体" w:hAnsi="宋体" w:cs="宋体"/>
                <w:b/>
                <w:szCs w:val="21"/>
              </w:rPr>
            </w:pPr>
            <w:r>
              <w:rPr>
                <w:rFonts w:hint="eastAsia" w:ascii="宋体" w:hAnsi="宋体" w:cs="宋体"/>
                <w:b/>
                <w:szCs w:val="21"/>
              </w:rPr>
              <w:t>依据标准</w:t>
            </w:r>
          </w:p>
        </w:tc>
        <w:tc>
          <w:tcPr>
            <w:tcW w:w="2535" w:type="dxa"/>
            <w:noWrap/>
            <w:vAlign w:val="center"/>
          </w:tcPr>
          <w:p>
            <w:pPr>
              <w:adjustRightInd w:val="0"/>
              <w:snapToGrid w:val="0"/>
              <w:jc w:val="center"/>
              <w:rPr>
                <w:rFonts w:ascii="宋体" w:hAnsi="宋体" w:cs="宋体"/>
                <w:b/>
                <w:szCs w:val="21"/>
              </w:rPr>
            </w:pPr>
            <w:r>
              <w:rPr>
                <w:rFonts w:hint="eastAsia" w:ascii="宋体" w:hAnsi="宋体" w:cs="宋体"/>
                <w:b/>
                <w:szCs w:val="21"/>
              </w:rPr>
              <w:t>检查情况</w:t>
            </w:r>
          </w:p>
        </w:tc>
        <w:tc>
          <w:tcPr>
            <w:tcW w:w="765" w:type="dxa"/>
            <w:noWrap/>
            <w:vAlign w:val="center"/>
          </w:tcPr>
          <w:p>
            <w:pPr>
              <w:adjustRightInd w:val="0"/>
              <w:snapToGrid w:val="0"/>
              <w:jc w:val="center"/>
              <w:rPr>
                <w:rFonts w:ascii="宋体" w:hAnsi="宋体" w:cs="宋体"/>
                <w:b/>
                <w:szCs w:val="21"/>
              </w:rPr>
            </w:pPr>
            <w:r>
              <w:rPr>
                <w:rFonts w:hint="eastAsia" w:ascii="宋体" w:hAnsi="宋体" w:cs="宋体"/>
                <w:b/>
                <w:szCs w:val="21"/>
              </w:rPr>
              <w:t>结论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6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地上变电所宜设自然采光窗。除变电所周围设有1.8m高的围墙或围栏外，高压配电室窗户的底边距室外地面的高度不应小于1.8m，当高度小于1.8m时，窗户应采用不易破碎的透光材料或加装格栅；低压配电室可设能开启的采光窗。</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第6.2.1条</w:t>
            </w:r>
          </w:p>
        </w:tc>
        <w:tc>
          <w:tcPr>
            <w:tcW w:w="2535" w:type="dxa"/>
            <w:noWrap/>
            <w:vAlign w:val="center"/>
          </w:tcPr>
          <w:p>
            <w:pPr>
              <w:pStyle w:val="136"/>
              <w:snapToGrid w:val="0"/>
              <w:spacing w:line="240" w:lineRule="auto"/>
              <w:jc w:val="left"/>
              <w:rPr>
                <w:rFonts w:cs="宋体"/>
                <w:color w:val="auto"/>
              </w:rPr>
            </w:pPr>
            <w:r>
              <w:rPr>
                <w:rFonts w:hint="eastAsia" w:cs="宋体"/>
                <w:color w:val="auto"/>
              </w:rPr>
              <w:t>变配电室设置机械排风系统，采用壁式轴流风机排出室内废气，通过可门窗自然进风。</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38"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变压器室、配电室、电容器室的门应向外开启。相邻配电室之间有门时，应采用不燃材料制作的双向弹簧门。</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第6.2.2条</w:t>
            </w:r>
          </w:p>
        </w:tc>
        <w:tc>
          <w:tcPr>
            <w:tcW w:w="2535" w:type="dxa"/>
            <w:noWrap/>
            <w:vAlign w:val="center"/>
          </w:tcPr>
          <w:p>
            <w:pPr>
              <w:pStyle w:val="136"/>
              <w:snapToGrid w:val="0"/>
              <w:spacing w:line="240" w:lineRule="auto"/>
              <w:jc w:val="left"/>
              <w:rPr>
                <w:rFonts w:cs="宋体"/>
                <w:color w:val="auto"/>
              </w:rPr>
            </w:pPr>
            <w:r>
              <w:rPr>
                <w:rFonts w:hint="eastAsia" w:cs="宋体"/>
                <w:color w:val="auto"/>
              </w:rPr>
              <w:t>配电室、电容器室的门向外开启。</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变压器室、配电室、电容器室等应设置防止雨、雪和蛇、鼠类小动物从采光窗、通风窗、门、电缆沟等进入室内的设施。</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第6.2.4条</w:t>
            </w:r>
          </w:p>
        </w:tc>
        <w:tc>
          <w:tcPr>
            <w:tcW w:w="2535" w:type="dxa"/>
            <w:noWrap/>
            <w:vAlign w:val="center"/>
          </w:tcPr>
          <w:p>
            <w:pPr>
              <w:pStyle w:val="136"/>
              <w:snapToGrid w:val="0"/>
              <w:spacing w:line="240" w:lineRule="auto"/>
              <w:rPr>
                <w:rFonts w:cs="宋体"/>
                <w:color w:val="auto"/>
              </w:rPr>
            </w:pPr>
            <w:r>
              <w:rPr>
                <w:rFonts w:hint="eastAsia" w:cs="宋体"/>
                <w:color w:val="auto"/>
              </w:rPr>
              <w:t>配电室的门、窗关闭密合；与室外相通的洞、通风孔设防止鼠、蛇类等小动物进入的网罩，其防护等级不宜低于GB 4208《外壳防护等级分类》的IP3X级。</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配电室、电容器室和各辅助房间的内墙表面应抹灰刷白。地(楼)面宜采用高标号水泥抹面压光。配电室、变压器室、电容器室的顶棚以及变压器室的内墙面应刷白。</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第6.2.5条</w:t>
            </w:r>
          </w:p>
        </w:tc>
        <w:tc>
          <w:tcPr>
            <w:tcW w:w="2535" w:type="dxa"/>
            <w:noWrap/>
            <w:vAlign w:val="center"/>
          </w:tcPr>
          <w:p>
            <w:pPr>
              <w:pStyle w:val="136"/>
              <w:snapToGrid w:val="0"/>
              <w:spacing w:line="240" w:lineRule="auto"/>
              <w:rPr>
                <w:rFonts w:cs="宋体"/>
                <w:color w:val="auto"/>
              </w:rPr>
            </w:pPr>
            <w:r>
              <w:rPr>
                <w:rFonts w:hint="eastAsia" w:cs="宋体"/>
                <w:color w:val="auto"/>
              </w:rPr>
              <w:t>配电室、电容器室和各辅助房间的内墙表面应抹灰刷白。</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长度大于7m的配电室应设两个出口、并宜布置在配电室的两端。长度大于60m时，宜增加一个出口。当变电所采用双层布置时位于楼上的配电室应器通向室外的平台或通道的出口。</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第6.2.6条</w:t>
            </w:r>
          </w:p>
        </w:tc>
        <w:tc>
          <w:tcPr>
            <w:tcW w:w="2535" w:type="dxa"/>
            <w:noWrap/>
            <w:vAlign w:val="center"/>
          </w:tcPr>
          <w:p>
            <w:pPr>
              <w:pStyle w:val="136"/>
              <w:snapToGrid w:val="0"/>
              <w:spacing w:line="240" w:lineRule="auto"/>
              <w:rPr>
                <w:rFonts w:cs="宋体"/>
                <w:color w:val="auto"/>
              </w:rPr>
            </w:pPr>
            <w:r>
              <w:rPr>
                <w:rFonts w:hint="eastAsia" w:cs="宋体"/>
                <w:color w:val="auto"/>
              </w:rPr>
              <w:t>1号、2号变配电室均设两个出口。</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配电室宜采用自然通风。高压配电室装有较多油断路器时，应装设事故排烟装置。</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第6.3.4条</w:t>
            </w:r>
          </w:p>
        </w:tc>
        <w:tc>
          <w:tcPr>
            <w:tcW w:w="2535" w:type="dxa"/>
            <w:noWrap/>
            <w:vAlign w:val="center"/>
          </w:tcPr>
          <w:p>
            <w:pPr>
              <w:pStyle w:val="136"/>
              <w:snapToGrid w:val="0"/>
              <w:spacing w:line="240" w:lineRule="auto"/>
              <w:rPr>
                <w:rFonts w:cs="宋体"/>
                <w:color w:val="auto"/>
              </w:rPr>
            </w:pPr>
            <w:r>
              <w:rPr>
                <w:rFonts w:hint="eastAsia" w:cs="宋体"/>
                <w:color w:val="auto"/>
              </w:rPr>
              <w:t>1号、2号变配电室均设排烟装置。</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高、低压配电室、变压器室、电容器室、控制室内，不应有与其无关的管道和线路通过。</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第6.4.1条</w:t>
            </w:r>
          </w:p>
        </w:tc>
        <w:tc>
          <w:tcPr>
            <w:tcW w:w="2535" w:type="dxa"/>
            <w:noWrap/>
            <w:vAlign w:val="center"/>
          </w:tcPr>
          <w:p>
            <w:pPr>
              <w:pStyle w:val="136"/>
              <w:snapToGrid w:val="0"/>
              <w:spacing w:line="240" w:lineRule="auto"/>
              <w:rPr>
                <w:rFonts w:cs="宋体"/>
                <w:color w:val="auto"/>
              </w:rPr>
            </w:pPr>
            <w:r>
              <w:rPr>
                <w:rFonts w:hint="eastAsia" w:cs="宋体"/>
                <w:color w:val="auto"/>
              </w:rPr>
              <w:t>配电室内除本室需用的管道外，无其它的管道通过。</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color w:val="auto"/>
              </w:rPr>
            </w:pPr>
            <w:r>
              <w:rPr>
                <w:rFonts w:hint="eastAsia" w:cs="宋体"/>
                <w:color w:val="auto"/>
              </w:rPr>
              <w:t>在配电室内裸导体正上方不应布置灯具和明敷线路。当在配电室内裸导体上方布置灯具时，灯具与裸导体的水平净距不应小于10m。灯具不得采用吊链和软线吊装。</w:t>
            </w:r>
          </w:p>
        </w:tc>
        <w:tc>
          <w:tcPr>
            <w:tcW w:w="2130" w:type="dxa"/>
            <w:noWrap/>
            <w:vAlign w:val="center"/>
          </w:tcPr>
          <w:p>
            <w:pPr>
              <w:pStyle w:val="136"/>
              <w:snapToGrid w:val="0"/>
              <w:spacing w:line="240" w:lineRule="auto"/>
              <w:jc w:val="center"/>
              <w:rPr>
                <w:rFonts w:cs="宋体"/>
                <w:color w:val="auto"/>
              </w:rPr>
            </w:pPr>
            <w:r>
              <w:rPr>
                <w:rFonts w:hint="eastAsia" w:cs="宋体"/>
                <w:color w:val="auto"/>
                <w:lang w:eastAsia="zh-CN"/>
              </w:rPr>
              <w:t>《20kv及以下变电所设计规范》（GB 50053-2013）</w:t>
            </w:r>
            <w:r>
              <w:rPr>
                <w:rFonts w:hint="eastAsia" w:cs="宋体"/>
                <w:color w:val="auto"/>
              </w:rPr>
              <w:t>第6.4.3条</w:t>
            </w:r>
          </w:p>
        </w:tc>
        <w:tc>
          <w:tcPr>
            <w:tcW w:w="2535" w:type="dxa"/>
            <w:noWrap/>
            <w:vAlign w:val="center"/>
          </w:tcPr>
          <w:p>
            <w:pPr>
              <w:pStyle w:val="136"/>
              <w:snapToGrid w:val="0"/>
              <w:spacing w:line="240" w:lineRule="auto"/>
              <w:rPr>
                <w:rFonts w:cs="宋体"/>
                <w:color w:val="auto"/>
              </w:rPr>
            </w:pPr>
            <w:r>
              <w:rPr>
                <w:rFonts w:hint="eastAsia" w:cs="宋体"/>
                <w:color w:val="auto"/>
              </w:rPr>
              <w:t>在配电室内裸导体正上方未布置灯具和明敷线路。</w:t>
            </w:r>
          </w:p>
        </w:tc>
        <w:tc>
          <w:tcPr>
            <w:tcW w:w="765" w:type="dxa"/>
            <w:noWrap/>
            <w:vAlign w:val="center"/>
          </w:tcPr>
          <w:p>
            <w:pPr>
              <w:snapToGrid w:val="0"/>
              <w:rPr>
                <w:rFonts w:ascii="宋体" w:hAnsi="宋体" w:cs="宋体"/>
                <w:color w:val="auto"/>
                <w:szCs w:val="21"/>
              </w:rPr>
            </w:pPr>
            <w:r>
              <w:rPr>
                <w:rFonts w:hint="eastAsia" w:ascii="宋体" w:hAnsi="宋体" w:cs="宋体"/>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23"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kern w:val="0"/>
              </w:rPr>
            </w:pPr>
            <w:r>
              <w:rPr>
                <w:rFonts w:hint="eastAsia" w:cs="宋体"/>
              </w:rPr>
              <w:t>配电设备的布置必须遵循安全、可靠、适用和经济等原则，并应便于安装、操作、搬运、检修、试验和监测。</w:t>
            </w:r>
          </w:p>
        </w:tc>
        <w:tc>
          <w:tcPr>
            <w:tcW w:w="2130" w:type="dxa"/>
            <w:noWrap/>
            <w:vAlign w:val="center"/>
          </w:tcPr>
          <w:p>
            <w:pPr>
              <w:pStyle w:val="136"/>
              <w:snapToGrid w:val="0"/>
              <w:spacing w:line="240" w:lineRule="auto"/>
              <w:jc w:val="center"/>
              <w:rPr>
                <w:rFonts w:cs="宋体"/>
              </w:rPr>
            </w:pPr>
            <w:r>
              <w:rPr>
                <w:rFonts w:hint="eastAsia" w:cs="宋体"/>
              </w:rPr>
              <w:t>《低压配电设计规范》（GB50054-2011）第4.1.2条</w:t>
            </w:r>
          </w:p>
        </w:tc>
        <w:tc>
          <w:tcPr>
            <w:tcW w:w="2535" w:type="dxa"/>
            <w:noWrap/>
            <w:vAlign w:val="center"/>
          </w:tcPr>
          <w:p>
            <w:pPr>
              <w:pStyle w:val="136"/>
              <w:snapToGrid w:val="0"/>
              <w:spacing w:line="240" w:lineRule="auto"/>
              <w:rPr>
                <w:rFonts w:cs="宋体"/>
              </w:rPr>
            </w:pPr>
            <w:r>
              <w:rPr>
                <w:rFonts w:hint="eastAsia" w:cs="宋体"/>
              </w:rPr>
              <w:t>配电设备的布置合理。</w:t>
            </w:r>
          </w:p>
        </w:tc>
        <w:tc>
          <w:tcPr>
            <w:tcW w:w="765" w:type="dxa"/>
            <w:noWrap/>
            <w:vAlign w:val="center"/>
          </w:tcPr>
          <w:p>
            <w:pPr>
              <w:pStyle w:val="137"/>
              <w:snapToGrid w:val="0"/>
              <w:rPr>
                <w:rFonts w:ascii="宋体" w:hAnsi="宋体" w:cs="宋体"/>
              </w:rPr>
            </w:pPr>
            <w:r>
              <w:rPr>
                <w:rFonts w:hint="eastAsia" w:ascii="宋体" w:hAnsi="宋体" w:cs="宋体"/>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74"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kern w:val="0"/>
              </w:rPr>
            </w:pPr>
            <w:r>
              <w:rPr>
                <w:rFonts w:hint="eastAsia" w:cs="宋体"/>
              </w:rPr>
              <w:t>落地式配电箱的底部应抬高，高出地面的高度室内不应低于50mm,室外不应低于200mm；其底座周围应采取封闭措施，并应能防止鼠、蛇类等小动物进入箱内。</w:t>
            </w:r>
          </w:p>
        </w:tc>
        <w:tc>
          <w:tcPr>
            <w:tcW w:w="2130" w:type="dxa"/>
            <w:noWrap/>
            <w:vAlign w:val="center"/>
          </w:tcPr>
          <w:p>
            <w:pPr>
              <w:pStyle w:val="136"/>
              <w:snapToGrid w:val="0"/>
              <w:spacing w:line="240" w:lineRule="auto"/>
              <w:jc w:val="center"/>
              <w:rPr>
                <w:rFonts w:cs="宋体"/>
              </w:rPr>
            </w:pPr>
            <w:r>
              <w:rPr>
                <w:rFonts w:hint="eastAsia" w:cs="宋体"/>
              </w:rPr>
              <w:t>《低压配电设计规范》（GB50054-2011）第4.2.1条</w:t>
            </w:r>
          </w:p>
        </w:tc>
        <w:tc>
          <w:tcPr>
            <w:tcW w:w="2535" w:type="dxa"/>
            <w:noWrap/>
            <w:vAlign w:val="center"/>
          </w:tcPr>
          <w:p>
            <w:pPr>
              <w:pStyle w:val="136"/>
              <w:snapToGrid w:val="0"/>
              <w:spacing w:line="240" w:lineRule="auto"/>
              <w:rPr>
                <w:rFonts w:cs="宋体"/>
              </w:rPr>
            </w:pPr>
            <w:r>
              <w:rPr>
                <w:rFonts w:hint="eastAsia" w:cs="宋体"/>
              </w:rPr>
              <w:t>配电箱在厂房内敷设，底部与地面高度不小于50mm。</w:t>
            </w:r>
          </w:p>
        </w:tc>
        <w:tc>
          <w:tcPr>
            <w:tcW w:w="765" w:type="dxa"/>
            <w:noWrap/>
            <w:vAlign w:val="center"/>
          </w:tcPr>
          <w:p>
            <w:pPr>
              <w:pStyle w:val="137"/>
              <w:snapToGrid w:val="0"/>
              <w:rPr>
                <w:rFonts w:ascii="宋体" w:hAnsi="宋体" w:cs="宋体"/>
              </w:rPr>
            </w:pPr>
            <w:r>
              <w:rPr>
                <w:rFonts w:hint="eastAsia" w:ascii="宋体" w:hAnsi="宋体" w:cs="宋体"/>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534" w:hRule="atLeast"/>
        </w:trPr>
        <w:tc>
          <w:tcPr>
            <w:tcW w:w="435" w:type="dxa"/>
            <w:noWrap/>
            <w:vAlign w:val="center"/>
          </w:tcPr>
          <w:p>
            <w:pPr>
              <w:numPr>
                <w:ilvl w:val="0"/>
                <w:numId w:val="15"/>
              </w:numPr>
              <w:adjustRightInd w:val="0"/>
              <w:snapToGrid w:val="0"/>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rPr>
            </w:pPr>
            <w:r>
              <w:rPr>
                <w:rFonts w:hint="eastAsia" w:cs="宋体"/>
              </w:rPr>
              <w:t>导体的类型应按敷设方式及环境条件选择。绝缘导体除满足上述条件外，尚应符合工作电压的要求。</w:t>
            </w:r>
          </w:p>
        </w:tc>
        <w:tc>
          <w:tcPr>
            <w:tcW w:w="2130" w:type="dxa"/>
            <w:noWrap/>
            <w:vAlign w:val="center"/>
          </w:tcPr>
          <w:p>
            <w:pPr>
              <w:pStyle w:val="136"/>
              <w:snapToGrid w:val="0"/>
              <w:spacing w:line="240" w:lineRule="auto"/>
              <w:jc w:val="center"/>
              <w:rPr>
                <w:rFonts w:cs="宋体"/>
              </w:rPr>
            </w:pPr>
            <w:r>
              <w:rPr>
                <w:rFonts w:hint="eastAsia" w:cs="宋体"/>
              </w:rPr>
              <w:t>《低压配电设计规范》（GB50054-2011）第3.2.1条</w:t>
            </w:r>
          </w:p>
        </w:tc>
        <w:tc>
          <w:tcPr>
            <w:tcW w:w="2535" w:type="dxa"/>
            <w:noWrap/>
            <w:vAlign w:val="center"/>
          </w:tcPr>
          <w:p>
            <w:pPr>
              <w:pStyle w:val="136"/>
              <w:snapToGrid w:val="0"/>
              <w:spacing w:line="240" w:lineRule="auto"/>
              <w:rPr>
                <w:rFonts w:cs="宋体"/>
              </w:rPr>
            </w:pPr>
            <w:r>
              <w:rPr>
                <w:rFonts w:hint="eastAsia" w:cs="宋体"/>
              </w:rPr>
              <w:t>室外供电干线以单体建筑为供电单元。室外电缆敷设采用YJV型铜芯电力电缆埋地敷设。室内低压配电线路采用YJV-0.6/1KV交联聚乙烯绝缘、聚乙烯护套铜芯电力电缆，采用电缆桥架布线。照明线路选用BV-500V聚氯乙烯绝缘铜芯导线，穿阻燃（PVC）电管敷设。</w:t>
            </w:r>
          </w:p>
        </w:tc>
        <w:tc>
          <w:tcPr>
            <w:tcW w:w="765" w:type="dxa"/>
            <w:noWrap/>
            <w:vAlign w:val="center"/>
          </w:tcPr>
          <w:p>
            <w:pPr>
              <w:pStyle w:val="137"/>
              <w:snapToGrid w:val="0"/>
              <w:rPr>
                <w:rFonts w:ascii="宋体" w:hAnsi="宋体" w:cs="宋体"/>
              </w:rPr>
            </w:pPr>
            <w:r>
              <w:rPr>
                <w:rFonts w:hint="eastAsia" w:ascii="宋体" w:hAnsi="宋体" w:cs="宋体"/>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06" w:hRule="atLeast"/>
        </w:trPr>
        <w:tc>
          <w:tcPr>
            <w:tcW w:w="435" w:type="dxa"/>
            <w:noWrap/>
            <w:vAlign w:val="center"/>
          </w:tcPr>
          <w:p>
            <w:pPr>
              <w:numPr>
                <w:ilvl w:val="0"/>
                <w:numId w:val="15"/>
              </w:numPr>
              <w:adjustRightInd w:val="0"/>
              <w:snapToGrid w:val="0"/>
              <w:rPr>
                <w:rFonts w:ascii="宋体" w:hAnsi="宋体" w:cs="宋体"/>
                <w:szCs w:val="21"/>
                <w:shd w:val="clear" w:color="FFFFFF" w:fill="D9D9D9"/>
              </w:rPr>
            </w:pPr>
          </w:p>
        </w:tc>
        <w:tc>
          <w:tcPr>
            <w:tcW w:w="3645" w:type="dxa"/>
            <w:noWrap/>
            <w:vAlign w:val="center"/>
          </w:tcPr>
          <w:p>
            <w:pPr>
              <w:snapToGrid w:val="0"/>
              <w:jc w:val="left"/>
              <w:rPr>
                <w:rFonts w:ascii="宋体" w:hAnsi="宋体" w:cs="宋体"/>
                <w:kern w:val="0"/>
                <w:szCs w:val="21"/>
              </w:rPr>
            </w:pPr>
            <w:r>
              <w:rPr>
                <w:rFonts w:hint="eastAsia" w:ascii="宋体" w:hAnsi="宋体" w:cs="宋体"/>
                <w:kern w:val="0"/>
                <w:szCs w:val="21"/>
              </w:rPr>
              <w:t>供配电系统设计应根据工程特点、规模和发展规划，做到远近期结合，在满足近期使用要求的同时，兼顾未来发展的需要。</w:t>
            </w:r>
          </w:p>
        </w:tc>
        <w:tc>
          <w:tcPr>
            <w:tcW w:w="2130" w:type="dxa"/>
            <w:noWrap/>
            <w:vAlign w:val="center"/>
          </w:tcPr>
          <w:p>
            <w:pPr>
              <w:snapToGrid w:val="0"/>
              <w:jc w:val="center"/>
              <w:rPr>
                <w:rFonts w:ascii="宋体" w:hAnsi="宋体" w:cs="宋体"/>
                <w:kern w:val="0"/>
                <w:szCs w:val="21"/>
              </w:rPr>
            </w:pPr>
            <w:r>
              <w:rPr>
                <w:rFonts w:hint="eastAsia" w:ascii="宋体" w:hAnsi="宋体" w:cs="宋体"/>
                <w:kern w:val="0"/>
                <w:szCs w:val="21"/>
              </w:rPr>
              <w:t>《供配电系统设计规范》（GB50052-2009）第1.0.4条</w:t>
            </w:r>
          </w:p>
        </w:tc>
        <w:tc>
          <w:tcPr>
            <w:tcW w:w="2535" w:type="dxa"/>
            <w:noWrap/>
            <w:vAlign w:val="center"/>
          </w:tcPr>
          <w:p>
            <w:pPr>
              <w:snapToGrid w:val="0"/>
              <w:jc w:val="left"/>
              <w:rPr>
                <w:rFonts w:ascii="宋体" w:hAnsi="宋体" w:cs="宋体"/>
                <w:kern w:val="0"/>
                <w:szCs w:val="21"/>
              </w:rPr>
            </w:pPr>
            <w:r>
              <w:rPr>
                <w:rFonts w:hint="eastAsia" w:ascii="宋体" w:hAnsi="宋体" w:cs="宋体"/>
                <w:kern w:val="0"/>
                <w:szCs w:val="21"/>
              </w:rPr>
              <w:t>该项目供电满足工程特点。</w:t>
            </w:r>
          </w:p>
        </w:tc>
        <w:tc>
          <w:tcPr>
            <w:tcW w:w="765" w:type="dxa"/>
            <w:noWrap/>
            <w:vAlign w:val="center"/>
          </w:tcPr>
          <w:p>
            <w:pPr>
              <w:snapToGrid w:val="0"/>
              <w:jc w:val="left"/>
              <w:rPr>
                <w:rFonts w:ascii="宋体" w:hAnsi="宋体" w:cs="宋体"/>
                <w:kern w:val="0"/>
                <w:szCs w:val="21"/>
              </w:rPr>
            </w:pPr>
            <w:r>
              <w:rPr>
                <w:rFonts w:hint="eastAsia" w:ascii="宋体" w:hAnsi="宋体" w:cs="宋体"/>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08" w:hRule="atLeast"/>
        </w:trPr>
        <w:tc>
          <w:tcPr>
            <w:tcW w:w="435" w:type="dxa"/>
            <w:noWrap/>
            <w:vAlign w:val="center"/>
          </w:tcPr>
          <w:p>
            <w:pPr>
              <w:numPr>
                <w:ilvl w:val="0"/>
                <w:numId w:val="15"/>
              </w:numPr>
              <w:adjustRightInd w:val="0"/>
              <w:snapToGrid w:val="0"/>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rPr>
            </w:pPr>
            <w:r>
              <w:rPr>
                <w:rFonts w:hint="eastAsia" w:cs="宋体"/>
              </w:rPr>
              <w:t>一级负荷应由两个电源供电，当一个电源发生故障时，另一个电源不应同时受到损坏，二级负荷宜由两回线路供电。</w:t>
            </w:r>
          </w:p>
        </w:tc>
        <w:tc>
          <w:tcPr>
            <w:tcW w:w="2130" w:type="dxa"/>
            <w:noWrap/>
            <w:vAlign w:val="center"/>
          </w:tcPr>
          <w:p>
            <w:pPr>
              <w:pStyle w:val="136"/>
              <w:snapToGrid w:val="0"/>
              <w:spacing w:line="240" w:lineRule="auto"/>
              <w:jc w:val="center"/>
              <w:rPr>
                <w:rFonts w:cs="宋体"/>
              </w:rPr>
            </w:pPr>
            <w:r>
              <w:rPr>
                <w:rFonts w:hint="eastAsia" w:cs="宋体"/>
              </w:rPr>
              <w:t>《供配电系统设计规范》</w:t>
            </w:r>
            <w:r>
              <w:rPr>
                <w:rFonts w:hint="eastAsia" w:cs="宋体"/>
                <w:kern w:val="0"/>
              </w:rPr>
              <w:t>（GB50052-2009）</w:t>
            </w:r>
            <w:r>
              <w:rPr>
                <w:rFonts w:hint="eastAsia" w:cs="宋体"/>
              </w:rPr>
              <w:t>第2.0.2条</w:t>
            </w:r>
          </w:p>
        </w:tc>
        <w:tc>
          <w:tcPr>
            <w:tcW w:w="2535" w:type="dxa"/>
            <w:noWrap/>
            <w:vAlign w:val="center"/>
          </w:tcPr>
          <w:p>
            <w:pPr>
              <w:snapToGrid w:val="0"/>
              <w:jc w:val="left"/>
              <w:rPr>
                <w:rFonts w:ascii="宋体" w:hAnsi="宋体" w:cs="宋体"/>
                <w:szCs w:val="21"/>
              </w:rPr>
            </w:pPr>
            <w:r>
              <w:rPr>
                <w:rFonts w:hint="eastAsia" w:ascii="宋体" w:hAnsi="宋体" w:cs="宋体"/>
                <w:kern w:val="0"/>
                <w:szCs w:val="21"/>
              </w:rPr>
              <w:t>本项目单体建筑内一般电力、照明用电负荷等级均为三级负荷，能够满足要求。</w:t>
            </w:r>
          </w:p>
        </w:tc>
        <w:tc>
          <w:tcPr>
            <w:tcW w:w="765" w:type="dxa"/>
            <w:noWrap/>
            <w:vAlign w:val="center"/>
          </w:tcPr>
          <w:p>
            <w:pPr>
              <w:pStyle w:val="136"/>
              <w:snapToGrid w:val="0"/>
              <w:spacing w:line="240" w:lineRule="auto"/>
              <w:jc w:val="center"/>
              <w:rPr>
                <w:rFonts w:cs="宋体"/>
              </w:rPr>
            </w:pPr>
            <w:r>
              <w:rPr>
                <w:rFonts w:hint="eastAsia" w:cs="宋体"/>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06"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snapToGrid w:val="0"/>
              <w:jc w:val="left"/>
              <w:rPr>
                <w:rFonts w:ascii="宋体" w:hAnsi="宋体" w:cs="宋体"/>
                <w:kern w:val="0"/>
                <w:szCs w:val="21"/>
              </w:rPr>
            </w:pPr>
            <w:r>
              <w:rPr>
                <w:rFonts w:hint="eastAsia" w:ascii="宋体" w:hAnsi="宋体" w:cs="宋体"/>
                <w:kern w:val="0"/>
                <w:szCs w:val="21"/>
              </w:rPr>
              <w:t>供电系统应简单可靠，同一电压供电系统的变配电级数不宜多于两级。</w:t>
            </w:r>
          </w:p>
        </w:tc>
        <w:tc>
          <w:tcPr>
            <w:tcW w:w="2130" w:type="dxa"/>
            <w:noWrap/>
            <w:vAlign w:val="center"/>
          </w:tcPr>
          <w:p>
            <w:pPr>
              <w:snapToGrid w:val="0"/>
              <w:jc w:val="center"/>
              <w:rPr>
                <w:rFonts w:ascii="宋体" w:hAnsi="宋体" w:cs="宋体"/>
                <w:kern w:val="0"/>
                <w:szCs w:val="21"/>
              </w:rPr>
            </w:pPr>
            <w:r>
              <w:rPr>
                <w:rFonts w:hint="eastAsia" w:ascii="宋体" w:hAnsi="宋体" w:cs="宋体"/>
                <w:kern w:val="0"/>
                <w:szCs w:val="21"/>
              </w:rPr>
              <w:t>《供配电系统设计规范》（GB50052-2009）第3.0.7条</w:t>
            </w:r>
          </w:p>
        </w:tc>
        <w:tc>
          <w:tcPr>
            <w:tcW w:w="2535" w:type="dxa"/>
            <w:noWrap/>
            <w:vAlign w:val="center"/>
          </w:tcPr>
          <w:p>
            <w:pPr>
              <w:snapToGrid w:val="0"/>
              <w:jc w:val="left"/>
              <w:rPr>
                <w:rFonts w:ascii="宋体" w:hAnsi="宋体" w:cs="宋体"/>
                <w:kern w:val="0"/>
                <w:szCs w:val="21"/>
              </w:rPr>
            </w:pPr>
            <w:r>
              <w:rPr>
                <w:rFonts w:hint="eastAsia" w:ascii="宋体" w:hAnsi="宋体" w:cs="宋体"/>
                <w:kern w:val="0"/>
                <w:szCs w:val="21"/>
              </w:rPr>
              <w:t>该项目供电简单可靠，电气设备使用的电压等级属同级。</w:t>
            </w:r>
          </w:p>
        </w:tc>
        <w:tc>
          <w:tcPr>
            <w:tcW w:w="765" w:type="dxa"/>
            <w:noWrap/>
            <w:vAlign w:val="center"/>
          </w:tcPr>
          <w:p>
            <w:pPr>
              <w:snapToGrid w:val="0"/>
              <w:jc w:val="center"/>
              <w:rPr>
                <w:rFonts w:ascii="宋体" w:hAnsi="宋体" w:cs="宋体"/>
                <w:kern w:val="0"/>
                <w:szCs w:val="21"/>
              </w:rPr>
            </w:pPr>
            <w:r>
              <w:rPr>
                <w:rFonts w:hint="eastAsia" w:ascii="宋体" w:hAnsi="宋体" w:cs="宋体"/>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08"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pStyle w:val="136"/>
              <w:snapToGrid w:val="0"/>
              <w:spacing w:line="240" w:lineRule="auto"/>
              <w:rPr>
                <w:rFonts w:cs="宋体"/>
              </w:rPr>
            </w:pPr>
            <w:r>
              <w:rPr>
                <w:rFonts w:hint="eastAsia" w:cs="宋体"/>
              </w:rPr>
              <w:t>当供电电压为35kV及以上时，用电单位的一级配电电压应采用10kV；低压配电电压应采用380/220V。</w:t>
            </w:r>
          </w:p>
        </w:tc>
        <w:tc>
          <w:tcPr>
            <w:tcW w:w="2130" w:type="dxa"/>
            <w:noWrap/>
            <w:vAlign w:val="center"/>
          </w:tcPr>
          <w:p>
            <w:pPr>
              <w:pStyle w:val="136"/>
              <w:snapToGrid w:val="0"/>
              <w:spacing w:line="240" w:lineRule="auto"/>
              <w:jc w:val="center"/>
              <w:rPr>
                <w:rFonts w:cs="宋体"/>
              </w:rPr>
            </w:pPr>
            <w:r>
              <w:rPr>
                <w:rFonts w:hint="eastAsia" w:cs="宋体"/>
              </w:rPr>
              <w:t>《供配电系统设计规范》</w:t>
            </w:r>
            <w:r>
              <w:rPr>
                <w:rFonts w:hint="eastAsia" w:cs="宋体"/>
                <w:kern w:val="0"/>
              </w:rPr>
              <w:t>（GB50052-2009）</w:t>
            </w:r>
            <w:r>
              <w:rPr>
                <w:rFonts w:hint="eastAsia" w:cs="宋体"/>
              </w:rPr>
              <w:t>第4.0.2条</w:t>
            </w:r>
          </w:p>
        </w:tc>
        <w:tc>
          <w:tcPr>
            <w:tcW w:w="2535" w:type="dxa"/>
            <w:noWrap/>
            <w:vAlign w:val="center"/>
          </w:tcPr>
          <w:p>
            <w:pPr>
              <w:pStyle w:val="136"/>
              <w:snapToGrid w:val="0"/>
              <w:spacing w:line="240" w:lineRule="auto"/>
              <w:rPr>
                <w:rFonts w:cs="宋体"/>
              </w:rPr>
            </w:pPr>
            <w:r>
              <w:rPr>
                <w:rFonts w:hint="eastAsia" w:cs="宋体"/>
              </w:rPr>
              <w:t>一级配电电压采用10kV；低压配电电压采用380/220V。</w:t>
            </w:r>
          </w:p>
        </w:tc>
        <w:tc>
          <w:tcPr>
            <w:tcW w:w="765" w:type="dxa"/>
            <w:noWrap/>
            <w:vAlign w:val="center"/>
          </w:tcPr>
          <w:p>
            <w:pPr>
              <w:pStyle w:val="136"/>
              <w:snapToGrid w:val="0"/>
              <w:spacing w:line="240" w:lineRule="auto"/>
              <w:jc w:val="center"/>
              <w:rPr>
                <w:rFonts w:cs="宋体"/>
              </w:rPr>
            </w:pPr>
            <w:r>
              <w:rPr>
                <w:rFonts w:hint="eastAsia" w:cs="宋体"/>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42" w:hRule="atLeast"/>
        </w:trPr>
        <w:tc>
          <w:tcPr>
            <w:tcW w:w="435" w:type="dxa"/>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供电系统应简单可靠，同一电压等级的变配电级数高压不宜多于两级；低压不宜多于三级。</w:t>
            </w:r>
          </w:p>
        </w:tc>
        <w:tc>
          <w:tcPr>
            <w:tcW w:w="2130" w:type="dxa"/>
            <w:noWrap/>
            <w:vAlign w:val="center"/>
          </w:tcPr>
          <w:p>
            <w:pPr>
              <w:adjustRightInd w:val="0"/>
              <w:snapToGrid w:val="0"/>
              <w:jc w:val="center"/>
              <w:rPr>
                <w:rFonts w:ascii="宋体" w:hAnsi="宋体" w:cs="宋体"/>
                <w:szCs w:val="21"/>
              </w:rPr>
            </w:pPr>
            <w:r>
              <w:rPr>
                <w:rFonts w:hint="eastAsia" w:ascii="宋体" w:hAnsi="宋体" w:cs="宋体"/>
                <w:szCs w:val="21"/>
              </w:rPr>
              <w:t>《供配电系统设计规范》</w:t>
            </w:r>
          </w:p>
          <w:p>
            <w:pPr>
              <w:adjustRightInd w:val="0"/>
              <w:snapToGrid w:val="0"/>
              <w:jc w:val="center"/>
              <w:rPr>
                <w:rFonts w:ascii="宋体" w:hAnsi="宋体" w:cs="宋体"/>
                <w:szCs w:val="21"/>
              </w:rPr>
            </w:pPr>
            <w:r>
              <w:rPr>
                <w:rFonts w:hint="eastAsia" w:ascii="宋体" w:hAnsi="宋体" w:cs="宋体"/>
                <w:kern w:val="0"/>
                <w:szCs w:val="21"/>
              </w:rPr>
              <w:t>（GB50052-2009）</w:t>
            </w:r>
            <w:r>
              <w:rPr>
                <w:rFonts w:hint="eastAsia" w:ascii="宋体" w:hAnsi="宋体" w:cs="宋体"/>
                <w:szCs w:val="21"/>
              </w:rPr>
              <w:t>第4.0.6条</w:t>
            </w:r>
          </w:p>
        </w:tc>
        <w:tc>
          <w:tcPr>
            <w:tcW w:w="2535" w:type="dxa"/>
            <w:noWrap/>
            <w:vAlign w:val="center"/>
          </w:tcPr>
          <w:p>
            <w:pPr>
              <w:adjustRightInd w:val="0"/>
              <w:snapToGrid w:val="0"/>
              <w:rPr>
                <w:rFonts w:ascii="宋体" w:hAnsi="宋体" w:cs="宋体"/>
                <w:szCs w:val="21"/>
              </w:rPr>
            </w:pPr>
            <w:r>
              <w:rPr>
                <w:rFonts w:hint="eastAsia" w:ascii="宋体" w:hAnsi="宋体" w:cs="宋体"/>
                <w:szCs w:val="21"/>
              </w:rPr>
              <w:t>本项目生产用电负荷为三级负荷，消防用电、应急照明用电负荷为二级负荷。</w:t>
            </w:r>
          </w:p>
        </w:tc>
        <w:tc>
          <w:tcPr>
            <w:tcW w:w="765"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42"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rPr>
                <w:rFonts w:ascii="宋体" w:hAnsi="宋体" w:cs="宋体"/>
                <w:kern w:val="0"/>
                <w:szCs w:val="21"/>
              </w:rPr>
            </w:pPr>
            <w:r>
              <w:rPr>
                <w:rFonts w:hint="eastAsia" w:ascii="宋体" w:hAnsi="宋体" w:cs="宋体"/>
                <w:kern w:val="0"/>
                <w:szCs w:val="21"/>
              </w:rPr>
              <w:t>根据负荷的容量和分布，配变电所宜靠近负荷中心。当配电电压为35kV时，亦可采用直降至低压配电电压。</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szCs w:val="21"/>
              </w:rPr>
            </w:pPr>
            <w:r>
              <w:rPr>
                <w:rFonts w:hint="eastAsia" w:ascii="宋体" w:hAnsi="宋体" w:cs="宋体"/>
                <w:szCs w:val="21"/>
              </w:rPr>
              <w:t>《供配电系统设计规范》</w:t>
            </w:r>
          </w:p>
          <w:p>
            <w:pPr>
              <w:adjustRightInd w:val="0"/>
              <w:snapToGrid w:val="0"/>
              <w:jc w:val="center"/>
              <w:rPr>
                <w:rFonts w:ascii="宋体" w:hAnsi="宋体" w:cs="宋体"/>
                <w:szCs w:val="21"/>
              </w:rPr>
            </w:pPr>
            <w:r>
              <w:rPr>
                <w:rFonts w:hint="eastAsia" w:ascii="宋体" w:hAnsi="宋体" w:cs="宋体"/>
                <w:kern w:val="0"/>
                <w:szCs w:val="21"/>
              </w:rPr>
              <w:t>（GB50052-2009）</w:t>
            </w:r>
            <w:r>
              <w:rPr>
                <w:rFonts w:hint="eastAsia" w:ascii="宋体" w:hAnsi="宋体" w:cs="宋体"/>
                <w:szCs w:val="21"/>
              </w:rPr>
              <w:t>第4.0.8条</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szCs w:val="21"/>
              </w:rPr>
            </w:pPr>
            <w:r>
              <w:rPr>
                <w:rFonts w:hint="eastAsia" w:ascii="宋体" w:hAnsi="宋体" w:cs="宋体"/>
                <w:szCs w:val="21"/>
              </w:rPr>
              <w:t>项目供电依托云内动力第一联合厂房西北角10/0.4kV变电所，变电所靠近负荷中心。</w:t>
            </w:r>
          </w:p>
        </w:tc>
        <w:tc>
          <w:tcPr>
            <w:tcW w:w="76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color w:val="000000" w:themeColor="text1"/>
                <w:szCs w:val="21"/>
                <w:shd w:val="clear" w:color="FFFFFF" w:fill="D9D9D9"/>
                <w14:textFill>
                  <w14:solidFill>
                    <w14:schemeClr w14:val="tx1"/>
                  </w14:solidFill>
                </w14:textFill>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设计低压配电系统时宜采取下列措施,降低三相低压配电系统的不对称度。</w:t>
            </w:r>
          </w:p>
          <w:p>
            <w:pPr>
              <w:widowControl/>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一、220V或380V单相用电设备接入220/380V三相系统时,宜使三相平衡。</w:t>
            </w:r>
          </w:p>
          <w:p>
            <w:pPr>
              <w:widowControl/>
              <w:adjustRightInd w:val="0"/>
              <w:snapToGrid w:val="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二、由地区公共低压电网供电的220V照明负荷,线路电流小于或等于30A时,可采用220V单相供电;大于30A时,宜以220/380V三相四线制供电。</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《供配电系统设计规范》</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（GB50052-2009）</w:t>
            </w:r>
            <w:r>
              <w:rPr>
                <w:rFonts w:hint="eastAsia" w:ascii="宋体" w:hAnsi="宋体" w:cs="宋体"/>
                <w:color w:val="000000" w:themeColor="text1"/>
                <w:szCs w:val="21"/>
                <w14:textFill>
                  <w14:solidFill>
                    <w14:schemeClr w14:val="tx1"/>
                  </w14:solidFill>
                </w14:textFill>
              </w:rPr>
              <w:t>第5.0.15条</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低压配电采用380V/220V配电。</w:t>
            </w:r>
          </w:p>
        </w:tc>
        <w:tc>
          <w:tcPr>
            <w:tcW w:w="76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8"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szCs w:val="21"/>
                <w:shd w:val="clear" w:color="FFFFFF" w:fill="D9D9D9"/>
              </w:rPr>
            </w:pPr>
            <w:bookmarkStart w:id="558" w:name="_Toc18226"/>
          </w:p>
        </w:tc>
        <w:tc>
          <w:tcPr>
            <w:tcW w:w="3645" w:type="dxa"/>
            <w:tcBorders>
              <w:top w:val="single" w:color="auto" w:sz="2" w:space="0"/>
              <w:left w:val="single" w:color="auto" w:sz="2" w:space="0"/>
              <w:bottom w:val="single" w:color="auto" w:sz="2" w:space="0"/>
              <w:right w:val="single" w:color="auto" w:sz="2" w:space="0"/>
            </w:tcBorders>
            <w:noWrap/>
            <w:vAlign w:val="center"/>
          </w:tcPr>
          <w:p>
            <w:pPr>
              <w:pStyle w:val="136"/>
              <w:snapToGrid w:val="0"/>
              <w:spacing w:line="240" w:lineRule="auto"/>
              <w:rPr>
                <w:rFonts w:cs="宋体"/>
              </w:rPr>
            </w:pPr>
            <w:r>
              <w:rPr>
                <w:rFonts w:hint="eastAsia" w:cs="宋体"/>
              </w:rPr>
              <w:t>低压配电电压应采用220/380V。带电导体系统的型式宜采用单相二线制、两相三线制、三相三线制和三相四线制。</w:t>
            </w:r>
          </w:p>
        </w:tc>
        <w:tc>
          <w:tcPr>
            <w:tcW w:w="2130" w:type="dxa"/>
            <w:tcBorders>
              <w:top w:val="single" w:color="auto" w:sz="2" w:space="0"/>
              <w:left w:val="single" w:color="auto" w:sz="2" w:space="0"/>
              <w:bottom w:val="single" w:color="auto" w:sz="2" w:space="0"/>
              <w:right w:val="single" w:color="auto" w:sz="2" w:space="0"/>
            </w:tcBorders>
            <w:noWrap/>
            <w:vAlign w:val="center"/>
          </w:tcPr>
          <w:p>
            <w:pPr>
              <w:pStyle w:val="136"/>
              <w:snapToGrid w:val="0"/>
              <w:spacing w:line="240" w:lineRule="auto"/>
              <w:jc w:val="center"/>
              <w:rPr>
                <w:rFonts w:cs="宋体"/>
              </w:rPr>
            </w:pPr>
            <w:r>
              <w:rPr>
                <w:rFonts w:hint="eastAsia" w:cs="宋体"/>
              </w:rPr>
              <w:t>《供配电系统设计规范》</w:t>
            </w:r>
            <w:r>
              <w:rPr>
                <w:rFonts w:hint="eastAsia" w:cs="宋体"/>
                <w:kern w:val="0"/>
              </w:rPr>
              <w:t>（GB50052-2009）</w:t>
            </w:r>
            <w:r>
              <w:rPr>
                <w:rFonts w:hint="eastAsia" w:cs="宋体"/>
              </w:rPr>
              <w:t>第6.0.1条</w:t>
            </w:r>
          </w:p>
        </w:tc>
        <w:tc>
          <w:tcPr>
            <w:tcW w:w="2535" w:type="dxa"/>
            <w:tcBorders>
              <w:top w:val="single" w:color="auto" w:sz="2" w:space="0"/>
              <w:left w:val="single" w:color="auto" w:sz="2" w:space="0"/>
              <w:bottom w:val="single" w:color="auto" w:sz="2" w:space="0"/>
              <w:right w:val="single" w:color="auto" w:sz="2" w:space="0"/>
            </w:tcBorders>
            <w:noWrap/>
            <w:vAlign w:val="center"/>
          </w:tcPr>
          <w:p>
            <w:pPr>
              <w:pStyle w:val="136"/>
              <w:snapToGrid w:val="0"/>
              <w:spacing w:line="240" w:lineRule="auto"/>
              <w:rPr>
                <w:rFonts w:cs="宋体"/>
              </w:rPr>
            </w:pPr>
            <w:r>
              <w:rPr>
                <w:rFonts w:hint="eastAsia" w:cs="宋体"/>
              </w:rPr>
              <w:t>低压配电采用380V/220V配电。</w:t>
            </w:r>
          </w:p>
        </w:tc>
        <w:tc>
          <w:tcPr>
            <w:tcW w:w="765" w:type="dxa"/>
            <w:tcBorders>
              <w:top w:val="single" w:color="auto" w:sz="2" w:space="0"/>
              <w:left w:val="single" w:color="auto" w:sz="2" w:space="0"/>
              <w:bottom w:val="single" w:color="auto" w:sz="2" w:space="0"/>
              <w:right w:val="single" w:color="auto" w:sz="2" w:space="0"/>
            </w:tcBorders>
            <w:noWrap/>
            <w:vAlign w:val="center"/>
          </w:tcPr>
          <w:p>
            <w:pPr>
              <w:pStyle w:val="136"/>
              <w:snapToGrid w:val="0"/>
              <w:spacing w:line="240" w:lineRule="auto"/>
              <w:jc w:val="center"/>
              <w:rPr>
                <w:rFonts w:cs="宋体"/>
              </w:rPr>
            </w:pPr>
            <w:r>
              <w:rPr>
                <w:rFonts w:hint="eastAsia" w:cs="宋体"/>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66"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rPr>
                <w:rFonts w:ascii="宋体" w:hAnsi="宋体" w:cs="宋体"/>
                <w:kern w:val="0"/>
                <w:szCs w:val="21"/>
              </w:rPr>
            </w:pPr>
            <w:r>
              <w:rPr>
                <w:rFonts w:hint="eastAsia" w:ascii="宋体" w:hAnsi="宋体" w:cs="宋体"/>
                <w:color w:val="000000" w:themeColor="text1"/>
                <w:szCs w:val="21"/>
                <w14:textFill>
                  <w14:solidFill>
                    <w14:schemeClr w14:val="tx1"/>
                  </w14:solidFill>
                </w14:textFill>
              </w:rPr>
              <w:t>带电导体系统的型式，宜采用单相二线制、两相三线制、三相三线制和三相四线制。低压配电系统接地型式，可采用TN系统、TT系统和IT系统。</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《供配电系统设计规范》（GB50052-2009）第7.0.1条</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低压配电系统接地型式为TN-S系统。</w:t>
            </w:r>
          </w:p>
        </w:tc>
        <w:tc>
          <w:tcPr>
            <w:tcW w:w="76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17"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szCs w:val="21"/>
                <w:shd w:val="clear" w:color="FFFFFF" w:fill="D9D9D9"/>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snapToGrid w:val="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当采用220V/380V的TN及TT系统接地型式的低压电网时，照明和电力设备宜由同一台变压器供电，必要时亦可单独设置照明变压器供电。</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szCs w:val="21"/>
              </w:rPr>
              <w:t>《供配电系统设计规范》</w:t>
            </w:r>
            <w:r>
              <w:rPr>
                <w:rFonts w:hint="eastAsia" w:ascii="宋体" w:hAnsi="宋体" w:cs="宋体"/>
                <w:kern w:val="0"/>
                <w:szCs w:val="21"/>
              </w:rPr>
              <w:t>（GB50052-2009）</w:t>
            </w:r>
            <w:r>
              <w:rPr>
                <w:rFonts w:hint="eastAsia" w:ascii="宋体" w:hAnsi="宋体" w:cs="宋体"/>
                <w:szCs w:val="21"/>
              </w:rPr>
              <w:t>第7.0.9条</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低压用电采用YJV型铜芯电力电缆引至单体建筑底层的总配电箱，成放射状引向用电处。</w:t>
            </w:r>
          </w:p>
        </w:tc>
        <w:tc>
          <w:tcPr>
            <w:tcW w:w="76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17"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color w:val="000000" w:themeColor="text1"/>
                <w:szCs w:val="21"/>
                <w:shd w:val="clear" w:color="FFFFFF" w:fill="D9D9D9"/>
                <w14:textFill>
                  <w14:solidFill>
                    <w14:schemeClr w14:val="tx1"/>
                  </w14:solidFill>
                </w14:textFill>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snapToGrid w:val="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类防雷建筑物外部防雷的措施，宜采用装设在建筑物上的接闪网、接闪带或接闪杆，也可采用由接闪网、接闪带或接闪杆混合组成的接闪器。接闪网、接闪带应按本规范附录B的规定沿屋角、屋脊、屋檐和檐角等易受雷击的部位敷设，并应在整个屋面组成不大于10m×10m或12m×8m的网格；当建筑物高度超过45m时，首先应沿屋顶周边敷设接闪带，接闪带应设在外墙外表面或屋檐边垂直面上，也可设在外墙外表面或屋檐边垂直面外。接闪器之间应互相连接。</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《建筑物防雷设计规范》（GB 50057-2010）4.3.1</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利用金属屋面板作接闪器，结构钢柱作防雷引下线；混凝土框架利用屋面和女儿墙顶敷设的接闪网格作接闪器，防雷引下线利用结构柱内主筋。</w:t>
            </w:r>
          </w:p>
        </w:tc>
        <w:tc>
          <w:tcPr>
            <w:tcW w:w="76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17"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color w:val="000000" w:themeColor="text1"/>
                <w:szCs w:val="21"/>
                <w:shd w:val="clear" w:color="FFFFFF" w:fill="D9D9D9"/>
                <w14:textFill>
                  <w14:solidFill>
                    <w14:schemeClr w14:val="tx1"/>
                  </w14:solidFill>
                </w14:textFill>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snapToGrid w:val="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专设引下线不应少于2根，并应沿建筑物四周和内庭院四周均匀对称布置，其间距沿周长计算不应大18m。当建筑物的跨度较大，无法在跨距中间设引下线时，应在跨距端设引下线并减小其他引下线的间距，专设引下线的平均间距不应大于18m。</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《建筑物防雷设计规范》（GB 50057-2010）4.3.3</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防雷引下线利用结构钢柱和混凝土柱内主筋。</w:t>
            </w:r>
          </w:p>
        </w:tc>
        <w:tc>
          <w:tcPr>
            <w:tcW w:w="76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17"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color w:val="000000" w:themeColor="text1"/>
                <w:szCs w:val="21"/>
                <w:shd w:val="clear" w:color="FFFFFF" w:fill="D9D9D9"/>
                <w14:textFill>
                  <w14:solidFill>
                    <w14:schemeClr w14:val="tx1"/>
                  </w14:solidFill>
                </w14:textFill>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snapToGrid w:val="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外部防雷装置的接地应和防闪电感应、内部防雷装置、电气和电子系统等接地共用接地装置，并应与引入的金属管线做等电位连接。外部防雷装置的专设接地装置宜围绕建筑物敷设成环形接地体。</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《建筑物防雷设计规范》（GB 50057-2010）4.3.4 </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本工程采用综合接地系统，接地极体利用建筑物基础钢筋，接地系统工频电阻 R≤1Ω。</w:t>
            </w:r>
          </w:p>
        </w:tc>
        <w:tc>
          <w:tcPr>
            <w:tcW w:w="76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07" w:hRule="atLeast"/>
        </w:trPr>
        <w:tc>
          <w:tcPr>
            <w:tcW w:w="435" w:type="dxa"/>
            <w:tcBorders>
              <w:top w:val="single" w:color="auto" w:sz="2" w:space="0"/>
              <w:left w:val="single" w:color="auto" w:sz="2" w:space="0"/>
              <w:bottom w:val="single" w:color="auto" w:sz="2" w:space="0"/>
              <w:right w:val="single" w:color="auto" w:sz="2" w:space="0"/>
            </w:tcBorders>
            <w:noWrap/>
            <w:vAlign w:val="center"/>
          </w:tcPr>
          <w:p>
            <w:pPr>
              <w:numPr>
                <w:ilvl w:val="0"/>
                <w:numId w:val="15"/>
              </w:numPr>
              <w:adjustRightInd w:val="0"/>
              <w:snapToGrid w:val="0"/>
              <w:jc w:val="center"/>
              <w:rPr>
                <w:rFonts w:ascii="宋体" w:hAnsi="宋体" w:cs="宋体"/>
                <w:color w:val="000000" w:themeColor="text1"/>
                <w:szCs w:val="21"/>
                <w:shd w:val="clear" w:color="FFFFFF" w:fill="D9D9D9"/>
                <w14:textFill>
                  <w14:solidFill>
                    <w14:schemeClr w14:val="tx1"/>
                  </w14:solidFill>
                </w14:textFill>
              </w:rPr>
            </w:pPr>
          </w:p>
        </w:tc>
        <w:tc>
          <w:tcPr>
            <w:tcW w:w="3645" w:type="dxa"/>
            <w:tcBorders>
              <w:top w:val="single" w:color="auto" w:sz="2" w:space="0"/>
              <w:left w:val="single" w:color="auto" w:sz="2" w:space="0"/>
              <w:bottom w:val="single" w:color="auto" w:sz="2" w:space="0"/>
              <w:right w:val="single" w:color="auto" w:sz="2" w:space="0"/>
            </w:tcBorders>
            <w:noWrap/>
            <w:vAlign w:val="center"/>
          </w:tcPr>
          <w:p>
            <w:pPr>
              <w:widowControl/>
              <w:snapToGrid w:val="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利用建筑物的钢筋作为防雷装置时，应符合本规范4.3.5的1-6条规定</w:t>
            </w:r>
          </w:p>
        </w:tc>
        <w:tc>
          <w:tcPr>
            <w:tcW w:w="2130"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《建筑物防雷设计规范》（GB 50057-2010）4.3.5</w:t>
            </w:r>
          </w:p>
        </w:tc>
        <w:tc>
          <w:tcPr>
            <w:tcW w:w="2535" w:type="dxa"/>
            <w:tcBorders>
              <w:top w:val="single" w:color="auto" w:sz="2" w:space="0"/>
              <w:left w:val="single" w:color="auto" w:sz="2" w:space="0"/>
              <w:bottom w:val="single" w:color="auto" w:sz="2" w:space="0"/>
              <w:right w:val="single" w:color="auto" w:sz="2" w:space="0"/>
            </w:tcBorders>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利用金属屋面板作接闪器，结构钢柱作防雷引下线；混凝土框架利用屋面和女儿墙顶敷设的接闪网格作接闪器，防雷引下线利用结构柱内主筋。</w:t>
            </w:r>
          </w:p>
        </w:tc>
        <w:tc>
          <w:tcPr>
            <w:tcW w:w="765" w:type="dxa"/>
            <w:tcBorders>
              <w:top w:val="single" w:color="auto" w:sz="2" w:space="0"/>
              <w:left w:val="single" w:color="auto" w:sz="2" w:space="0"/>
              <w:bottom w:val="single" w:color="auto" w:sz="2" w:space="0"/>
              <w:right w:val="single" w:color="auto" w:sz="2" w:space="0"/>
            </w:tcBorders>
            <w:noWrap/>
            <w:vAlign w:val="center"/>
          </w:tcPr>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符合</w:t>
            </w:r>
          </w:p>
        </w:tc>
      </w:tr>
    </w:tbl>
    <w:p>
      <w:pPr>
        <w:rPr>
          <w:color w:val="000000" w:themeColor="text1"/>
          <w14:textFill>
            <w14:solidFill>
              <w14:schemeClr w14:val="tx1"/>
            </w14:solidFill>
          </w14:textFill>
        </w:rPr>
      </w:pPr>
    </w:p>
    <w:bookmarkEnd w:id="558"/>
    <w:p>
      <w:pPr>
        <w:pStyle w:val="5"/>
        <w:keepNext w:val="0"/>
        <w:keepLines w:val="0"/>
        <w:snapToGrid w:val="0"/>
        <w:spacing w:before="0" w:after="0" w:line="360" w:lineRule="auto"/>
        <w:rPr>
          <w:rFonts w:ascii="宋体" w:hAnsi="宋体" w:cs="宋体"/>
          <w:sz w:val="28"/>
          <w:szCs w:val="28"/>
        </w:rPr>
      </w:pPr>
      <w:bookmarkStart w:id="559" w:name="_Toc17102"/>
      <w:bookmarkStart w:id="560" w:name="_Toc20657"/>
      <w:bookmarkStart w:id="561" w:name="_Toc23353"/>
      <w:bookmarkStart w:id="562" w:name="_Toc9384"/>
      <w:bookmarkStart w:id="563" w:name="_Toc367717433"/>
      <w:bookmarkStart w:id="564" w:name="_Toc367707492"/>
      <w:bookmarkStart w:id="565" w:name="_Toc400545703"/>
      <w:bookmarkStart w:id="566" w:name="_Toc502479942"/>
      <w:bookmarkStart w:id="567" w:name="_Toc525114913"/>
      <w:bookmarkStart w:id="568" w:name="_Toc21631"/>
      <w:bookmarkStart w:id="569" w:name="_Toc440009139"/>
      <w:bookmarkStart w:id="570" w:name="_Toc434849913"/>
      <w:bookmarkStart w:id="571" w:name="_Toc381868372"/>
      <w:bookmarkStart w:id="572" w:name="_Toc527470788"/>
      <w:bookmarkStart w:id="573" w:name="_Toc367715509"/>
      <w:bookmarkStart w:id="574" w:name="_Toc487575306"/>
      <w:r>
        <w:rPr>
          <w:rFonts w:hint="eastAsia" w:ascii="宋体" w:hAnsi="宋体" w:cs="宋体"/>
          <w:sz w:val="28"/>
          <w:szCs w:val="28"/>
        </w:rPr>
        <w:t>5.5.2</w:t>
      </w:r>
      <w:r>
        <w:rPr>
          <w:rFonts w:hint="eastAsia" w:ascii="宋体" w:hAnsi="宋体" w:cs="宋体"/>
          <w:sz w:val="28"/>
          <w:szCs w:val="28"/>
          <w:lang w:val="en-US" w:eastAsia="zh-CN"/>
        </w:rPr>
        <w:t xml:space="preserve"> </w:t>
      </w:r>
      <w:r>
        <w:rPr>
          <w:rFonts w:hint="eastAsia" w:ascii="宋体" w:hAnsi="宋体" w:cs="宋体"/>
          <w:sz w:val="28"/>
          <w:szCs w:val="28"/>
        </w:rPr>
        <w:t>消防系统评价子单元</w:t>
      </w:r>
      <w:bookmarkEnd w:id="559"/>
      <w:bookmarkEnd w:id="560"/>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本节主要依据《中华人民共和国消防法》、《建筑设计防火规范（2018版）》（GB50016-2014）、《建筑灭火器配置设计规范》（GB50140-2005）等法律、法规、标准和规范的要求，用安全检查表，对本项目消防系统进行分析评价，检查结果见表。</w:t>
      </w:r>
    </w:p>
    <w:p>
      <w:pPr>
        <w:autoSpaceDE w:val="0"/>
        <w:autoSpaceDN w:val="0"/>
        <w:snapToGrid w:val="0"/>
        <w:spacing w:line="360" w:lineRule="auto"/>
        <w:jc w:val="center"/>
        <w:rPr>
          <w:rFonts w:ascii="宋体" w:hAnsi="宋体" w:cs="宋体"/>
          <w:bCs/>
          <w:sz w:val="24"/>
        </w:rPr>
      </w:pPr>
      <w:r>
        <w:rPr>
          <w:rFonts w:hint="eastAsia" w:ascii="宋体" w:hAnsi="宋体" w:cs="宋体"/>
          <w:bCs/>
          <w:sz w:val="24"/>
        </w:rPr>
        <w:t>表5.5-2 消防系统安全检查表</w:t>
      </w:r>
    </w:p>
    <w:tbl>
      <w:tblPr>
        <w:tblStyle w:val="52"/>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4170"/>
        <w:gridCol w:w="2018"/>
        <w:gridCol w:w="2197"/>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blHeader/>
          <w:jc w:val="center"/>
        </w:trPr>
        <w:tc>
          <w:tcPr>
            <w:tcW w:w="559" w:type="dxa"/>
            <w:noWrap/>
            <w:vAlign w:val="center"/>
          </w:tcPr>
          <w:p>
            <w:pPr>
              <w:overflowPunct w:val="0"/>
              <w:autoSpaceDE w:val="0"/>
              <w:autoSpaceDN w:val="0"/>
              <w:adjustRightInd w:val="0"/>
              <w:snapToGrid w:val="0"/>
              <w:jc w:val="center"/>
              <w:textAlignment w:val="baseline"/>
              <w:rPr>
                <w:rFonts w:ascii="宋体" w:hAnsi="宋体" w:cs="宋体"/>
                <w:b/>
                <w:kern w:val="0"/>
                <w:szCs w:val="20"/>
              </w:rPr>
            </w:pPr>
            <w:r>
              <w:rPr>
                <w:rFonts w:hint="eastAsia" w:ascii="宋体" w:hAnsi="宋体" w:cs="宋体"/>
                <w:b/>
                <w:kern w:val="0"/>
                <w:szCs w:val="20"/>
              </w:rPr>
              <w:t>序号</w:t>
            </w:r>
          </w:p>
        </w:tc>
        <w:tc>
          <w:tcPr>
            <w:tcW w:w="4170" w:type="dxa"/>
            <w:noWrap/>
            <w:vAlign w:val="center"/>
          </w:tcPr>
          <w:p>
            <w:pPr>
              <w:overflowPunct w:val="0"/>
              <w:autoSpaceDE w:val="0"/>
              <w:autoSpaceDN w:val="0"/>
              <w:adjustRightInd w:val="0"/>
              <w:snapToGrid w:val="0"/>
              <w:jc w:val="center"/>
              <w:textAlignment w:val="baseline"/>
              <w:rPr>
                <w:rFonts w:ascii="宋体" w:hAnsi="宋体" w:cs="宋体"/>
                <w:b/>
                <w:kern w:val="0"/>
                <w:szCs w:val="20"/>
              </w:rPr>
            </w:pPr>
            <w:r>
              <w:rPr>
                <w:rFonts w:hint="eastAsia" w:ascii="宋体" w:hAnsi="宋体" w:cs="宋体"/>
                <w:b/>
                <w:kern w:val="0"/>
                <w:szCs w:val="20"/>
              </w:rPr>
              <w:t>检查内容</w:t>
            </w:r>
          </w:p>
        </w:tc>
        <w:tc>
          <w:tcPr>
            <w:tcW w:w="2018" w:type="dxa"/>
            <w:noWrap/>
            <w:vAlign w:val="center"/>
          </w:tcPr>
          <w:p>
            <w:pPr>
              <w:overflowPunct w:val="0"/>
              <w:autoSpaceDE w:val="0"/>
              <w:autoSpaceDN w:val="0"/>
              <w:adjustRightInd w:val="0"/>
              <w:snapToGrid w:val="0"/>
              <w:jc w:val="center"/>
              <w:textAlignment w:val="baseline"/>
              <w:rPr>
                <w:rFonts w:ascii="宋体" w:hAnsi="宋体" w:cs="宋体"/>
                <w:b/>
                <w:kern w:val="0"/>
                <w:szCs w:val="20"/>
              </w:rPr>
            </w:pPr>
            <w:r>
              <w:rPr>
                <w:rFonts w:hint="eastAsia" w:ascii="宋体" w:hAnsi="宋体" w:cs="宋体"/>
                <w:b/>
                <w:kern w:val="0"/>
                <w:szCs w:val="20"/>
              </w:rPr>
              <w:t>依据标准</w:t>
            </w:r>
          </w:p>
        </w:tc>
        <w:tc>
          <w:tcPr>
            <w:tcW w:w="2197" w:type="dxa"/>
            <w:noWrap/>
            <w:vAlign w:val="center"/>
          </w:tcPr>
          <w:p>
            <w:pPr>
              <w:overflowPunct w:val="0"/>
              <w:autoSpaceDE w:val="0"/>
              <w:autoSpaceDN w:val="0"/>
              <w:adjustRightInd w:val="0"/>
              <w:snapToGrid w:val="0"/>
              <w:jc w:val="center"/>
              <w:textAlignment w:val="baseline"/>
              <w:rPr>
                <w:rFonts w:ascii="宋体" w:hAnsi="宋体" w:cs="宋体"/>
                <w:b/>
                <w:kern w:val="0"/>
                <w:szCs w:val="20"/>
              </w:rPr>
            </w:pPr>
            <w:r>
              <w:rPr>
                <w:rFonts w:hint="eastAsia" w:ascii="宋体" w:hAnsi="宋体" w:cs="宋体"/>
                <w:b/>
                <w:kern w:val="0"/>
                <w:szCs w:val="20"/>
              </w:rPr>
              <w:t>检查情况</w:t>
            </w:r>
          </w:p>
        </w:tc>
        <w:tc>
          <w:tcPr>
            <w:tcW w:w="748" w:type="dxa"/>
            <w:noWrap/>
            <w:vAlign w:val="center"/>
          </w:tcPr>
          <w:p>
            <w:pPr>
              <w:overflowPunct w:val="0"/>
              <w:autoSpaceDE w:val="0"/>
              <w:autoSpaceDN w:val="0"/>
              <w:adjustRightInd w:val="0"/>
              <w:snapToGrid w:val="0"/>
              <w:jc w:val="center"/>
              <w:textAlignment w:val="baseline"/>
              <w:rPr>
                <w:rFonts w:ascii="宋体" w:hAnsi="宋体" w:cs="宋体"/>
                <w:b/>
                <w:kern w:val="0"/>
                <w:szCs w:val="20"/>
              </w:rPr>
            </w:pPr>
            <w:r>
              <w:rPr>
                <w:rFonts w:hint="eastAsia" w:ascii="宋体" w:hAnsi="宋体" w:cs="宋体"/>
                <w:b/>
                <w:kern w:val="0"/>
                <w:szCs w:val="2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jc w:val="left"/>
              <w:textAlignment w:val="baseline"/>
              <w:rPr>
                <w:rFonts w:ascii="宋体" w:hAnsi="宋体" w:cs="宋体"/>
                <w:kern w:val="0"/>
                <w:szCs w:val="21"/>
              </w:rPr>
            </w:pPr>
            <w:r>
              <w:rPr>
                <w:rFonts w:hint="eastAsia" w:ascii="宋体" w:hAnsi="宋体" w:cs="宋体"/>
                <w:kern w:val="0"/>
                <w:szCs w:val="21"/>
              </w:rPr>
              <w:t>按照国家标准、行业标准配置消防设施、器材，设置消防安全标志，并定期组织检验、维修，确保完好有效。</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《中华人民共和国消防法》第十六条第二款</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该项目生产厂房内设置有消火栓。</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工厂、仓库区内应设置消防车道。占地面积大于 3000m</w:t>
            </w:r>
            <w:r>
              <w:rPr>
                <w:rFonts w:hint="eastAsia" w:ascii="宋体" w:hAnsi="宋体" w:cs="宋体"/>
                <w:kern w:val="0"/>
                <w:szCs w:val="21"/>
                <w:vertAlign w:val="superscript"/>
              </w:rPr>
              <w:t>2</w:t>
            </w:r>
            <w:r>
              <w:rPr>
                <w:rFonts w:hint="eastAsia" w:ascii="宋体" w:hAnsi="宋体" w:cs="宋体"/>
                <w:kern w:val="0"/>
                <w:szCs w:val="21"/>
              </w:rPr>
              <w:t>的甲、乙、丙类厂房或占地面积大于 1500m</w:t>
            </w:r>
            <w:r>
              <w:rPr>
                <w:rFonts w:hint="eastAsia" w:ascii="宋体" w:hAnsi="宋体" w:cs="宋体"/>
                <w:kern w:val="0"/>
                <w:szCs w:val="21"/>
                <w:vertAlign w:val="superscript"/>
              </w:rPr>
              <w:t>2</w:t>
            </w:r>
            <w:r>
              <w:rPr>
                <w:rFonts w:hint="eastAsia" w:ascii="宋体" w:hAnsi="宋体" w:cs="宋体"/>
                <w:kern w:val="0"/>
                <w:szCs w:val="21"/>
              </w:rPr>
              <w:t>的乙、丙类仓库，应设置环形消防车道，确有困难时，应沿建筑物的两个长边设置消防车道。</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《建筑设计防火规范（</w:t>
            </w:r>
            <w:r>
              <w:rPr>
                <w:rFonts w:hint="eastAsia" w:ascii="宋体" w:hAnsi="宋体" w:cs="宋体"/>
                <w:szCs w:val="21"/>
              </w:rPr>
              <w:t>2018版）</w:t>
            </w:r>
            <w:r>
              <w:rPr>
                <w:rFonts w:hint="eastAsia" w:ascii="宋体" w:hAnsi="宋体" w:cs="宋体"/>
                <w:kern w:val="0"/>
                <w:szCs w:val="21"/>
              </w:rPr>
              <w:t>》</w:t>
            </w:r>
            <w:r>
              <w:rPr>
                <w:rFonts w:hint="eastAsia" w:ascii="宋体" w:hAnsi="宋体" w:cs="宋体"/>
                <w:szCs w:val="21"/>
              </w:rPr>
              <w:t>（GB50016-2014）</w:t>
            </w:r>
            <w:r>
              <w:rPr>
                <w:rFonts w:hint="eastAsia" w:ascii="宋体" w:hAnsi="宋体" w:cs="宋体"/>
                <w:kern w:val="0"/>
                <w:szCs w:val="21"/>
              </w:rPr>
              <w:t>7.1.3条</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厂区内原有消防通道满足本项目要求。</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除建筑高度小于27m的住宅外的民用建筑、厂房和丙类仓库的下列部位，应设置消防应急照明灯具：封闭楼梯间、防烟楼梯间及其前室、消防电梯间的前室或合用前室；消防控制室、消防水泵房、自备发电机房、配电室、防烟与排烟机房以及发生火灾时仍需正常工作的其它房间；</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《建筑设计防火规范（</w:t>
            </w:r>
            <w:r>
              <w:rPr>
                <w:rFonts w:hint="eastAsia" w:ascii="宋体" w:hAnsi="宋体" w:cs="宋体"/>
                <w:szCs w:val="21"/>
              </w:rPr>
              <w:t>2018版）</w:t>
            </w:r>
            <w:r>
              <w:rPr>
                <w:rFonts w:hint="eastAsia" w:ascii="宋体" w:hAnsi="宋体" w:cs="宋体"/>
                <w:kern w:val="0"/>
                <w:szCs w:val="21"/>
              </w:rPr>
              <w:t>》</w:t>
            </w:r>
            <w:r>
              <w:rPr>
                <w:rFonts w:hint="eastAsia" w:ascii="宋体" w:hAnsi="宋体" w:cs="宋体"/>
                <w:szCs w:val="21"/>
              </w:rPr>
              <w:t>（GB50016-2014）</w:t>
            </w:r>
            <w:r>
              <w:rPr>
                <w:rFonts w:hint="eastAsia" w:ascii="宋体" w:hAnsi="宋体" w:cs="宋体"/>
                <w:kern w:val="0"/>
                <w:szCs w:val="21"/>
              </w:rPr>
              <w:t>10.3.1条</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在各层楼梯间、各安全出口、走道设置消防应急照明及灯光疏散指示标志。安全出口标志灯、疏散指示灯、疏散楼梯、走道应急照明灯。</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民用建筑、厂房、仓库、储罐(区)和堆场周围应设置室外消火栓系统。</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《建筑设计防火规范（</w:t>
            </w:r>
            <w:r>
              <w:rPr>
                <w:rFonts w:hint="eastAsia" w:ascii="宋体" w:hAnsi="宋体" w:cs="宋体"/>
                <w:color w:val="000000" w:themeColor="text1"/>
                <w:szCs w:val="21"/>
                <w14:textFill>
                  <w14:solidFill>
                    <w14:schemeClr w14:val="tx1"/>
                  </w14:solidFill>
                </w14:textFill>
              </w:rPr>
              <w:t>2018版）</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（GB50016-2014）8.1.2</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厂房周围设置室外消火栓系统。</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下列建筑或场所应设置室内消火栓系统:</w:t>
            </w:r>
          </w:p>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建筑占地面积大于300</w:t>
            </w:r>
            <w:r>
              <w:rPr>
                <w:rFonts w:hint="eastAsia" w:ascii="宋体" w:hAnsi="宋体" w:cs="宋体"/>
                <w:color w:val="000000" w:themeColor="text1"/>
                <w:kern w:val="0"/>
                <w:szCs w:val="21"/>
                <w:vertAlign w:val="superscript"/>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的厂房和仓库。</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《建筑设计防火规范（</w:t>
            </w:r>
            <w:r>
              <w:rPr>
                <w:rFonts w:hint="eastAsia" w:ascii="宋体" w:hAnsi="宋体" w:cs="宋体"/>
                <w:color w:val="000000" w:themeColor="text1"/>
                <w:szCs w:val="21"/>
                <w14:textFill>
                  <w14:solidFill>
                    <w14:schemeClr w14:val="tx1"/>
                  </w14:solidFill>
                </w14:textFill>
              </w:rPr>
              <w:t>2018版）</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（GB50016-2014）</w:t>
            </w:r>
            <w:r>
              <w:rPr>
                <w:rFonts w:hint="eastAsia" w:ascii="宋体" w:hAnsi="宋体" w:cs="宋体"/>
                <w:color w:val="000000" w:themeColor="text1"/>
                <w:kern w:val="0"/>
                <w:szCs w:val="21"/>
                <w14:textFill>
                  <w14:solidFill>
                    <w14:schemeClr w14:val="tx1"/>
                  </w14:solidFill>
                </w14:textFill>
              </w:rPr>
              <w:t>8.2.1</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第三联合厂房内设置有消火栓。</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消防水源水质应满足水灭火设施灭火、控火和冷却等消防功能的要求。</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《消防给水及消火栓系统技术规范》（GB50974-2014）4.1.2</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消防水源水质满足消防功能要求。</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临时高压消防给水系统的高位消防水箱的有效容积应满足初期火灾消防用水量的要求，并应符合下列规定：工业建筑室内消防给水设计流量当小于等于 25L/s 时不应小于 12m</w:t>
            </w:r>
            <w:r>
              <w:rPr>
                <w:rFonts w:hint="eastAsia" w:ascii="宋体" w:hAnsi="宋体" w:cs="宋体"/>
                <w:color w:val="000000" w:themeColor="text1"/>
                <w:kern w:val="0"/>
                <w:szCs w:val="21"/>
                <w:vertAlign w:val="superscript"/>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，大于 25L/s 时不应小于18m</w:t>
            </w:r>
            <w:r>
              <w:rPr>
                <w:rFonts w:hint="eastAsia" w:ascii="宋体" w:hAnsi="宋体" w:cs="宋体"/>
                <w:color w:val="000000" w:themeColor="text1"/>
                <w:kern w:val="0"/>
                <w:szCs w:val="21"/>
                <w:vertAlign w:val="superscript"/>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 xml:space="preserve">； </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《消防给水及消火栓系统技术规范》（GB50974-2014）5.2.1</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第三联合厂房屋顶设高位消防水箱，有效容积18m</w:t>
            </w:r>
            <w:r>
              <w:rPr>
                <w:rFonts w:hint="eastAsia" w:ascii="宋体" w:hAnsi="宋体" w:cs="宋体"/>
                <w:color w:val="000000" w:themeColor="text1"/>
                <w:kern w:val="0"/>
                <w:szCs w:val="21"/>
                <w:vertAlign w:val="superscript"/>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高位消防水箱的设置位置应高于其所服务的水灭火设施，且最低有效水位应满足水灭火设施最不当高位消防水箱不能满足本条第 1～5 款的静压要求时，应设稳压泵。 利点处的静水压力，并应符合下列规定：</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《消防给水及消火栓系统技术规范》（GB50974-2014）5.2.2</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第三联合厂房屋顶设高位消防水箱，有效容积18m</w:t>
            </w:r>
            <w:r>
              <w:rPr>
                <w:rFonts w:hint="eastAsia" w:ascii="宋体" w:hAnsi="宋体" w:cs="宋体"/>
                <w:color w:val="000000" w:themeColor="text1"/>
                <w:kern w:val="0"/>
                <w:szCs w:val="21"/>
                <w:vertAlign w:val="superscript"/>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，在屋顶设置消火栓系统增压稳压装置。</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应根据建筑的用途功能、体积、高度、耐火极限、火灾危险性、重要性、次生灾害、商务连续性、水源条件等因素综合确定其可靠性和供水方式，并应满足水灭火系统灭火、控火和冷却等消防功能所需流量和压力的要求。</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《消防给水及消火栓系统技术规范》（GB50974-2014）6.1.1</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消防用水总量为q=40.0L/s，其中室内消火栓为q=15.0L/s，室外消火栓为q=25.0L/s，火灾延续时间2h。满足水灭火系统灭火、控火和冷却等消防功能所需流量和压力的要求。</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室外消火栓宜沿建筑周围均匀布置，且不宜集中布置在建筑一侧；建筑消防扑救面一侧的室外消火栓数量不宜少于 2 个。</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《消防给水及消火栓系统技术规范》（GB50974-2014）7.3.3</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室外消火栓宜沿建筑周围均匀布置，建筑消防扑救面一侧的室外消火栓数量不少于 2 个。</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室内消火栓的布置应满足同一平面有 2 支消防水枪的 2 股充实水柱同时达到任何部位的要求，且楼梯间及其休息平台等安全区域可仅与一层视为同一平面。但当建筑高度小于等于 24.0m 且体积小于等于 5000m</w:t>
            </w:r>
            <w:r>
              <w:rPr>
                <w:rFonts w:hint="eastAsia" w:ascii="宋体" w:hAnsi="宋体" w:cs="宋体"/>
                <w:color w:val="000000" w:themeColor="text1"/>
                <w:kern w:val="0"/>
                <w:szCs w:val="21"/>
                <w:vertAlign w:val="superscript"/>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 xml:space="preserve"> 的多层仓库，可采用 1 支水枪充实水柱到达室内任何部位。</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《消防给水及消火栓系统技术规范》（GB50974-2014）7.4.6</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各层均设消火栓进行保护。其布置能保证室内任何一处均有2股水柱同时达到。</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室外消防给水采用两路消防供水时应采用环状管网，但当采用一路消防供水时可采用枝状管网。</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《消防给水及消火栓系统技术规范》（GB50974-2014）8.1.4</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室外采用生活与消防分流的消防给水系统，专用消火栓给水管网呈环状形敷设，管径为 DN200mm。</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室内消火栓系统管网应布置成环状，当室外消火栓设计流量不大于 20L/s（但建筑高度超过50m的住宅除外），且室内消火栓不超过 10 个时，可布置成枝状。</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《消防给水及消火栓系统技术规范》（GB50974-2014）8.1.5</w:t>
            </w:r>
          </w:p>
        </w:tc>
        <w:tc>
          <w:tcPr>
            <w:tcW w:w="2197"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室外采用生活与消防分流的消防给水系统，专用消火栓给水管网呈环状形敷设，管径为 DN200mm。</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color w:val="000000" w:themeColor="text1"/>
                <w:kern w:val="0"/>
                <w:szCs w:val="20"/>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灭火器配置场所的火灾种类可划分为以下五类：A类火灾：固体物质火灾。B类火灾：液体火灾或可熔化固体物质火灾。C类火灾：气体火灾。D类火灾：金属火灾。E类火灾（带电火灾）：物体带电燃烧的</w:t>
            </w:r>
            <w:r>
              <w:rPr>
                <w:rFonts w:hint="eastAsia" w:ascii="宋体" w:hAnsi="宋体" w:cs="宋体"/>
                <w:color w:val="000000" w:themeColor="text1"/>
                <w:kern w:val="0"/>
                <w:szCs w:val="20"/>
                <w14:textFill>
                  <w14:solidFill>
                    <w14:schemeClr w14:val="tx1"/>
                  </w14:solidFill>
                </w14:textFill>
              </w:rPr>
              <w:t>火灾。</w:t>
            </w:r>
          </w:p>
        </w:tc>
        <w:tc>
          <w:tcPr>
            <w:tcW w:w="2018" w:type="dxa"/>
            <w:noWrap/>
            <w:vAlign w:val="center"/>
          </w:tcPr>
          <w:p>
            <w:pPr>
              <w:overflowPunct w:val="0"/>
              <w:autoSpaceDE w:val="0"/>
              <w:autoSpaceDN w:val="0"/>
              <w:adjustRightInd w:val="0"/>
              <w:snapToGrid w:val="0"/>
              <w:jc w:val="center"/>
              <w:textAlignment w:val="baseline"/>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《建筑灭火器配置设计规范》</w:t>
            </w:r>
            <w:r>
              <w:rPr>
                <w:rFonts w:hint="eastAsia" w:ascii="宋体" w:hAnsi="宋体" w:cs="宋体"/>
                <w:color w:val="000000" w:themeColor="text1"/>
                <w:szCs w:val="21"/>
                <w14:textFill>
                  <w14:solidFill>
                    <w14:schemeClr w14:val="tx1"/>
                  </w14:solidFill>
                </w14:textFill>
              </w:rPr>
              <w:t>（GB50140-2005）</w:t>
            </w:r>
            <w:r>
              <w:rPr>
                <w:rFonts w:hint="eastAsia" w:ascii="宋体" w:hAnsi="宋体" w:cs="宋体"/>
                <w:color w:val="000000" w:themeColor="text1"/>
                <w:kern w:val="0"/>
                <w:szCs w:val="21"/>
                <w14:textFill>
                  <w14:solidFill>
                    <w14:schemeClr w14:val="tx1"/>
                  </w14:solidFill>
                </w14:textFill>
              </w:rPr>
              <w:t>第3.1.2条</w:t>
            </w:r>
          </w:p>
        </w:tc>
        <w:tc>
          <w:tcPr>
            <w:tcW w:w="2197" w:type="dxa"/>
            <w:noWrap/>
            <w:vAlign w:val="center"/>
          </w:tcPr>
          <w:p>
            <w:pPr>
              <w:overflowPunct w:val="0"/>
              <w:autoSpaceDE w:val="0"/>
              <w:autoSpaceDN w:val="0"/>
              <w:adjustRightInd w:val="0"/>
              <w:snapToGrid w:val="0"/>
              <w:textAlignment w:val="baseline"/>
              <w:rPr>
                <w:rFonts w:ascii="宋体" w:hAnsi="宋体" w:cs="宋体"/>
                <w:bCs/>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按中低危险级A、B类火灾考虑，采用手提贮压式干粉磷酸铵盐灭火器和推车式磷酸铵盐灭火器。手提式灭火器型号MF/ABC3和MFT/ABC20。</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灭火器应设置在位置明显和便于取用的地点，且不得影响安全疏散。</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《建筑灭火器配置设计规范》</w:t>
            </w:r>
            <w:r>
              <w:rPr>
                <w:rFonts w:hint="eastAsia" w:ascii="宋体" w:hAnsi="宋体" w:cs="宋体"/>
                <w:szCs w:val="21"/>
              </w:rPr>
              <w:t>（GB50140-2005）</w:t>
            </w:r>
          </w:p>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第5.1.1条</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项目厂区内灭火器材设置在明显和便于取用地点，且不影响安全疏散。</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灭火器的摆放应稳固，其铭牌应朝外。手提式灭火器宜设置在灭火器箱内或挂钩、托架上，其顶部离地面高度不应大于1.50m；底部离地面高度不宜小于0.08m。灭火器箱不得上锁。</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《建筑灭火器配置设计规范》</w:t>
            </w:r>
            <w:r>
              <w:rPr>
                <w:rFonts w:hint="eastAsia" w:ascii="宋体" w:hAnsi="宋体" w:cs="宋体"/>
                <w:szCs w:val="21"/>
              </w:rPr>
              <w:t>（GB50140-2005）</w:t>
            </w:r>
          </w:p>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第5.1.3条</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灭火器材的摆放稳固。</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灭火器不宜设置在潮湿或强腐蚀性的地点。当必须设置时，应有相应的保护措施。灭火器设置在室外时，应有相应的保护措施。</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《建筑灭火器配置设计规范》</w:t>
            </w:r>
            <w:r>
              <w:rPr>
                <w:rFonts w:hint="eastAsia" w:ascii="宋体" w:hAnsi="宋体" w:cs="宋体"/>
                <w:szCs w:val="21"/>
              </w:rPr>
              <w:t>（GB50140-2005）</w:t>
            </w:r>
          </w:p>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第5.1.4条</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灭火器放在灭火器材箱内。</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一个计算单元内配置的灭火器数量不得少于2具。</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《建筑灭火器配置设计规范》</w:t>
            </w:r>
            <w:r>
              <w:rPr>
                <w:rFonts w:hint="eastAsia" w:ascii="宋体" w:hAnsi="宋体" w:cs="宋体"/>
                <w:szCs w:val="21"/>
              </w:rPr>
              <w:t>（GB50140-2005）</w:t>
            </w:r>
          </w:p>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第6.1.1条</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封装车间部分电控操作柜旁未配备二氧化碳灭火器。</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559" w:type="dxa"/>
            <w:noWrap/>
            <w:vAlign w:val="center"/>
          </w:tcPr>
          <w:p>
            <w:pPr>
              <w:numPr>
                <w:ilvl w:val="0"/>
                <w:numId w:val="16"/>
              </w:numPr>
              <w:overflowPunct w:val="0"/>
              <w:autoSpaceDE w:val="0"/>
              <w:autoSpaceDN w:val="0"/>
              <w:adjustRightInd w:val="0"/>
              <w:snapToGrid w:val="0"/>
              <w:jc w:val="center"/>
              <w:textAlignment w:val="baseline"/>
              <w:rPr>
                <w:rFonts w:ascii="宋体" w:hAnsi="宋体" w:cs="宋体"/>
                <w:kern w:val="0"/>
                <w:szCs w:val="20"/>
              </w:rPr>
            </w:pPr>
          </w:p>
        </w:tc>
        <w:tc>
          <w:tcPr>
            <w:tcW w:w="4170"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灭火器配置设计计算一般规定灭火器配置的设计与计算应按计算单元进行。灭火器最小需配灭火级别和最少需配数量的计算值应进位取整。每个灭火器设置点实配灭火器的灭火级别和数量不得小于最小需配灭火级别和数量的计算值。灭火器设置点的位置和数量应根据灭火器的最大保护距离确定，并应保证最不利点至少在1具灭火器的保护范围内。</w:t>
            </w:r>
          </w:p>
        </w:tc>
        <w:tc>
          <w:tcPr>
            <w:tcW w:w="201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《建筑灭火器配置设计规范》</w:t>
            </w:r>
            <w:r>
              <w:rPr>
                <w:rFonts w:hint="eastAsia" w:ascii="宋体" w:hAnsi="宋体" w:cs="宋体"/>
                <w:szCs w:val="21"/>
              </w:rPr>
              <w:t>（GB50140-2005）</w:t>
            </w:r>
            <w:r>
              <w:rPr>
                <w:rFonts w:hint="eastAsia" w:ascii="宋体" w:hAnsi="宋体" w:cs="宋体"/>
                <w:kern w:val="0"/>
                <w:szCs w:val="21"/>
              </w:rPr>
              <w:t>第7.1条</w:t>
            </w:r>
          </w:p>
        </w:tc>
        <w:tc>
          <w:tcPr>
            <w:tcW w:w="2197" w:type="dxa"/>
            <w:noWrap/>
            <w:vAlign w:val="center"/>
          </w:tcPr>
          <w:p>
            <w:pPr>
              <w:overflowPunct w:val="0"/>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封装车间部分电控操作柜旁未配备二氧化碳灭火器。</w:t>
            </w:r>
          </w:p>
        </w:tc>
        <w:tc>
          <w:tcPr>
            <w:tcW w:w="748" w:type="dxa"/>
            <w:noWrap/>
            <w:vAlign w:val="center"/>
          </w:tcPr>
          <w:p>
            <w:pPr>
              <w:overflowPunct w:val="0"/>
              <w:autoSpaceDE w:val="0"/>
              <w:autoSpaceDN w:val="0"/>
              <w:adjustRightInd w:val="0"/>
              <w:snapToGrid w:val="0"/>
              <w:jc w:val="center"/>
              <w:textAlignment w:val="baseline"/>
              <w:rPr>
                <w:rFonts w:ascii="宋体" w:hAnsi="宋体" w:cs="宋体"/>
                <w:kern w:val="0"/>
                <w:szCs w:val="21"/>
              </w:rPr>
            </w:pPr>
            <w:r>
              <w:rPr>
                <w:rFonts w:hint="eastAsia" w:ascii="宋体" w:hAnsi="宋体" w:cs="宋体"/>
                <w:kern w:val="0"/>
                <w:szCs w:val="21"/>
              </w:rPr>
              <w:t>不符合</w:t>
            </w:r>
          </w:p>
        </w:tc>
      </w:tr>
    </w:tbl>
    <w:p/>
    <w:p>
      <w:pPr>
        <w:pStyle w:val="5"/>
        <w:keepNext w:val="0"/>
        <w:keepLines w:val="0"/>
        <w:snapToGrid w:val="0"/>
        <w:spacing w:before="0" w:after="0" w:line="360" w:lineRule="auto"/>
        <w:rPr>
          <w:rFonts w:ascii="宋体" w:hAnsi="宋体" w:cs="宋体"/>
          <w:sz w:val="28"/>
          <w:szCs w:val="28"/>
        </w:rPr>
      </w:pPr>
      <w:bookmarkStart w:id="575" w:name="_Toc31928"/>
      <w:r>
        <w:rPr>
          <w:rFonts w:hint="eastAsia" w:ascii="宋体" w:hAnsi="宋体" w:cs="宋体"/>
          <w:sz w:val="28"/>
          <w:szCs w:val="28"/>
        </w:rPr>
        <w:t>5.5.3</w:t>
      </w:r>
      <w:r>
        <w:rPr>
          <w:rFonts w:hint="eastAsia" w:ascii="宋体" w:hAnsi="宋体" w:cs="宋体"/>
          <w:sz w:val="28"/>
          <w:szCs w:val="28"/>
          <w:lang w:val="en-US" w:eastAsia="zh-CN"/>
        </w:rPr>
        <w:t xml:space="preserve"> </w:t>
      </w:r>
      <w:r>
        <w:rPr>
          <w:rFonts w:hint="eastAsia" w:ascii="宋体" w:hAnsi="宋体" w:cs="宋体"/>
          <w:sz w:val="28"/>
          <w:szCs w:val="28"/>
        </w:rPr>
        <w:t>安全警示标志、安全色子单元</w:t>
      </w:r>
      <w:bookmarkEnd w:id="561"/>
      <w:bookmarkEnd w:id="562"/>
      <w:bookmarkEnd w:id="575"/>
    </w:p>
    <w:p>
      <w:pPr>
        <w:adjustRightInd w:val="0"/>
        <w:snapToGrid w:val="0"/>
        <w:spacing w:line="360" w:lineRule="auto"/>
        <w:jc w:val="center"/>
        <w:rPr>
          <w:rFonts w:ascii="宋体" w:hAnsi="宋体" w:cs="宋体"/>
          <w:snapToGrid w:val="0"/>
          <w:kern w:val="0"/>
          <w:sz w:val="24"/>
        </w:rPr>
      </w:pPr>
      <w:r>
        <w:rPr>
          <w:rFonts w:hint="eastAsia" w:ascii="宋体" w:hAnsi="宋体" w:cs="宋体"/>
          <w:bCs/>
          <w:sz w:val="24"/>
        </w:rPr>
        <w:t>表5.5-3安全警示标志、安全色子单元安全检查表</w:t>
      </w:r>
    </w:p>
    <w:tbl>
      <w:tblPr>
        <w:tblStyle w:val="52"/>
        <w:tblW w:w="9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4336"/>
        <w:gridCol w:w="2394"/>
        <w:gridCol w:w="1614"/>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31"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序号</w:t>
            </w:r>
          </w:p>
        </w:tc>
        <w:tc>
          <w:tcPr>
            <w:tcW w:w="4336"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检查内容</w:t>
            </w:r>
          </w:p>
        </w:tc>
        <w:tc>
          <w:tcPr>
            <w:tcW w:w="2394"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依据标准</w:t>
            </w:r>
          </w:p>
        </w:tc>
        <w:tc>
          <w:tcPr>
            <w:tcW w:w="1614"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检查情况</w:t>
            </w:r>
          </w:p>
        </w:tc>
        <w:tc>
          <w:tcPr>
            <w:tcW w:w="1022"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检查</w:t>
            </w:r>
          </w:p>
          <w:p>
            <w:pPr>
              <w:adjustRightInd w:val="0"/>
              <w:snapToGrid w:val="0"/>
              <w:jc w:val="center"/>
              <w:rPr>
                <w:rFonts w:ascii="宋体" w:hAnsi="宋体" w:cs="宋体"/>
                <w:b/>
                <w:bCs/>
                <w:szCs w:val="21"/>
              </w:rPr>
            </w:pPr>
            <w:r>
              <w:rPr>
                <w:rFonts w:hint="eastAsia" w:ascii="宋体" w:hAnsi="宋体" w:cs="宋体"/>
                <w:b/>
                <w:bCs/>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1" w:type="dxa"/>
            <w:noWrap/>
            <w:vAlign w:val="center"/>
          </w:tcPr>
          <w:p>
            <w:pPr>
              <w:adjustRightInd w:val="0"/>
              <w:snapToGrid w:val="0"/>
              <w:jc w:val="center"/>
              <w:rPr>
                <w:rFonts w:ascii="宋体" w:hAnsi="宋体" w:cs="宋体"/>
                <w:szCs w:val="21"/>
              </w:rPr>
            </w:pPr>
            <w:r>
              <w:rPr>
                <w:rFonts w:hint="eastAsia" w:ascii="宋体" w:hAnsi="宋体" w:cs="宋体"/>
                <w:szCs w:val="21"/>
              </w:rPr>
              <w:t>1</w:t>
            </w:r>
          </w:p>
        </w:tc>
        <w:tc>
          <w:tcPr>
            <w:tcW w:w="4336"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szCs w:val="21"/>
              </w:rPr>
              <w:t>生产场所、作业点的紧急通道和出入口，应设置明显醒目的标志。</w:t>
            </w:r>
          </w:p>
        </w:tc>
        <w:tc>
          <w:tcPr>
            <w:tcW w:w="2394" w:type="dxa"/>
            <w:noWrap/>
            <w:vAlign w:val="center"/>
          </w:tcPr>
          <w:p>
            <w:pPr>
              <w:adjustRightInd w:val="0"/>
              <w:snapToGrid w:val="0"/>
              <w:jc w:val="center"/>
              <w:rPr>
                <w:rFonts w:ascii="宋体" w:hAnsi="宋体" w:cs="宋体"/>
                <w:szCs w:val="21"/>
              </w:rPr>
            </w:pPr>
            <w:r>
              <w:rPr>
                <w:rFonts w:hint="eastAsia" w:ascii="宋体" w:hAnsi="宋体" w:cs="宋体"/>
                <w:szCs w:val="21"/>
              </w:rPr>
              <w:t>《生产过程安全卫生要求总则》(GB 12801-2008)6.8.3</w:t>
            </w:r>
          </w:p>
        </w:tc>
        <w:tc>
          <w:tcPr>
            <w:tcW w:w="1614"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kern w:val="0"/>
                <w:szCs w:val="21"/>
              </w:rPr>
              <w:t>安全出口有标志。</w:t>
            </w:r>
          </w:p>
        </w:tc>
        <w:tc>
          <w:tcPr>
            <w:tcW w:w="1022"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31" w:type="dxa"/>
            <w:noWrap/>
            <w:vAlign w:val="center"/>
          </w:tcPr>
          <w:p>
            <w:pPr>
              <w:adjustRightInd w:val="0"/>
              <w:snapToGrid w:val="0"/>
              <w:jc w:val="center"/>
              <w:rPr>
                <w:rFonts w:ascii="宋体" w:hAnsi="宋体" w:cs="宋体"/>
                <w:szCs w:val="21"/>
              </w:rPr>
            </w:pPr>
            <w:r>
              <w:rPr>
                <w:rFonts w:hint="eastAsia" w:ascii="宋体" w:hAnsi="宋体" w:cs="宋体"/>
                <w:szCs w:val="21"/>
              </w:rPr>
              <w:t>2</w:t>
            </w:r>
          </w:p>
        </w:tc>
        <w:tc>
          <w:tcPr>
            <w:tcW w:w="4336"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color w:val="000000"/>
                <w:kern w:val="0"/>
                <w:szCs w:val="21"/>
              </w:rPr>
              <w:t>标志牌设置的高度，应尽量与人眼的视线高度相一致。悬挂式和柱式的环境信息标志牌的下缘距地面的高度不宜小于2m，局部信息标志设置高度视具体情况确定。</w:t>
            </w:r>
          </w:p>
        </w:tc>
        <w:tc>
          <w:tcPr>
            <w:tcW w:w="2394" w:type="dxa"/>
            <w:noWrap/>
            <w:vAlign w:val="center"/>
          </w:tcPr>
          <w:p>
            <w:pPr>
              <w:adjustRightInd w:val="0"/>
              <w:snapToGrid w:val="0"/>
              <w:jc w:val="center"/>
              <w:rPr>
                <w:rFonts w:ascii="宋体" w:hAnsi="宋体" w:cs="宋体"/>
                <w:szCs w:val="21"/>
              </w:rPr>
            </w:pPr>
            <w:r>
              <w:rPr>
                <w:rFonts w:hint="eastAsia" w:ascii="宋体" w:hAnsi="宋体" w:cs="宋体"/>
                <w:szCs w:val="21"/>
              </w:rPr>
              <w:t>《安全标志及其使用导则》（GB2894-2008）</w:t>
            </w:r>
          </w:p>
          <w:p>
            <w:pPr>
              <w:adjustRightInd w:val="0"/>
              <w:snapToGrid w:val="0"/>
              <w:jc w:val="center"/>
              <w:rPr>
                <w:rFonts w:ascii="宋体" w:hAnsi="宋体" w:cs="宋体"/>
                <w:szCs w:val="21"/>
              </w:rPr>
            </w:pPr>
            <w:r>
              <w:rPr>
                <w:rFonts w:hint="eastAsia" w:ascii="宋体" w:hAnsi="宋体" w:cs="宋体"/>
                <w:szCs w:val="21"/>
              </w:rPr>
              <w:t>第8条</w:t>
            </w:r>
          </w:p>
        </w:tc>
        <w:tc>
          <w:tcPr>
            <w:tcW w:w="1614"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szCs w:val="21"/>
              </w:rPr>
              <w:t>安全警示标志的设置合理。</w:t>
            </w:r>
          </w:p>
        </w:tc>
        <w:tc>
          <w:tcPr>
            <w:tcW w:w="1022"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31" w:type="dxa"/>
            <w:noWrap/>
            <w:vAlign w:val="center"/>
          </w:tcPr>
          <w:p>
            <w:pPr>
              <w:adjustRightInd w:val="0"/>
              <w:snapToGrid w:val="0"/>
              <w:jc w:val="center"/>
              <w:rPr>
                <w:rFonts w:ascii="宋体" w:hAnsi="宋体" w:cs="宋体"/>
                <w:szCs w:val="21"/>
              </w:rPr>
            </w:pPr>
            <w:r>
              <w:rPr>
                <w:rFonts w:hint="eastAsia" w:ascii="宋体" w:hAnsi="宋体" w:cs="宋体"/>
                <w:szCs w:val="21"/>
              </w:rPr>
              <w:t>3</w:t>
            </w:r>
          </w:p>
        </w:tc>
        <w:tc>
          <w:tcPr>
            <w:tcW w:w="4336"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color w:val="000000"/>
                <w:kern w:val="0"/>
                <w:szCs w:val="21"/>
              </w:rPr>
              <w:t>标志牌不应设在门、窗、架等可移动的物体上，以免标志牌随母体物体相应移动，影响认读，标志牌前不得放置妨碍认读的障碍物。</w:t>
            </w:r>
          </w:p>
        </w:tc>
        <w:tc>
          <w:tcPr>
            <w:tcW w:w="2394" w:type="dxa"/>
            <w:noWrap/>
            <w:vAlign w:val="center"/>
          </w:tcPr>
          <w:p>
            <w:pPr>
              <w:adjustRightInd w:val="0"/>
              <w:snapToGrid w:val="0"/>
              <w:jc w:val="center"/>
              <w:rPr>
                <w:rFonts w:ascii="宋体" w:hAnsi="宋体" w:cs="宋体"/>
                <w:szCs w:val="21"/>
              </w:rPr>
            </w:pPr>
            <w:r>
              <w:rPr>
                <w:rFonts w:hint="eastAsia" w:ascii="宋体" w:hAnsi="宋体" w:cs="宋体"/>
                <w:szCs w:val="21"/>
              </w:rPr>
              <w:t>《安全标志及其使用导则》（GB2894-2008）</w:t>
            </w:r>
          </w:p>
          <w:p>
            <w:pPr>
              <w:adjustRightInd w:val="0"/>
              <w:snapToGrid w:val="0"/>
              <w:jc w:val="center"/>
              <w:rPr>
                <w:rFonts w:ascii="宋体" w:hAnsi="宋体" w:cs="宋体"/>
                <w:szCs w:val="21"/>
              </w:rPr>
            </w:pPr>
            <w:r>
              <w:rPr>
                <w:rFonts w:hint="eastAsia" w:ascii="宋体" w:hAnsi="宋体" w:cs="宋体"/>
                <w:szCs w:val="21"/>
              </w:rPr>
              <w:t>第9.1条</w:t>
            </w:r>
          </w:p>
        </w:tc>
        <w:tc>
          <w:tcPr>
            <w:tcW w:w="1614"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szCs w:val="21"/>
              </w:rPr>
              <w:t>标志牌未设置在门窗上。</w:t>
            </w:r>
          </w:p>
        </w:tc>
        <w:tc>
          <w:tcPr>
            <w:tcW w:w="1022"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631" w:type="dxa"/>
            <w:noWrap/>
            <w:vAlign w:val="center"/>
          </w:tcPr>
          <w:p>
            <w:pPr>
              <w:adjustRightInd w:val="0"/>
              <w:snapToGrid w:val="0"/>
              <w:jc w:val="center"/>
              <w:rPr>
                <w:rFonts w:ascii="宋体" w:hAnsi="宋体" w:cs="宋体"/>
                <w:szCs w:val="21"/>
              </w:rPr>
            </w:pPr>
            <w:r>
              <w:rPr>
                <w:rFonts w:hint="eastAsia" w:ascii="宋体" w:hAnsi="宋体" w:cs="宋体"/>
                <w:szCs w:val="21"/>
              </w:rPr>
              <w:t>4</w:t>
            </w:r>
          </w:p>
        </w:tc>
        <w:tc>
          <w:tcPr>
            <w:tcW w:w="4336"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生产经营单位应当在有较大危险因素的生产经营场所和有关设施、设备上，设置明显的安全警示标志。</w:t>
            </w:r>
          </w:p>
        </w:tc>
        <w:tc>
          <w:tcPr>
            <w:tcW w:w="23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《中华人民共和国安全生产法》第三十二条</w:t>
            </w:r>
          </w:p>
        </w:tc>
        <w:tc>
          <w:tcPr>
            <w:tcW w:w="161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安全警示标志设置完善。</w:t>
            </w:r>
          </w:p>
        </w:tc>
        <w:tc>
          <w:tcPr>
            <w:tcW w:w="1022"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1" w:type="dxa"/>
            <w:noWrap/>
            <w:vAlign w:val="center"/>
          </w:tcPr>
          <w:p>
            <w:pPr>
              <w:adjustRightInd w:val="0"/>
              <w:snapToGrid w:val="0"/>
              <w:jc w:val="center"/>
              <w:rPr>
                <w:rFonts w:ascii="宋体" w:hAnsi="宋体" w:cs="宋体"/>
                <w:szCs w:val="21"/>
              </w:rPr>
            </w:pPr>
            <w:r>
              <w:rPr>
                <w:rFonts w:hint="eastAsia" w:ascii="宋体" w:hAnsi="宋体" w:cs="宋体"/>
                <w:szCs w:val="21"/>
              </w:rPr>
              <w:t>5</w:t>
            </w:r>
          </w:p>
        </w:tc>
        <w:tc>
          <w:tcPr>
            <w:tcW w:w="4336"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保障疏散通道、安全出口畅通，并设置符合国家规定的消防安全疏散标志。</w:t>
            </w:r>
          </w:p>
        </w:tc>
        <w:tc>
          <w:tcPr>
            <w:tcW w:w="2394" w:type="dxa"/>
            <w:noWrap/>
            <w:vAlign w:val="center"/>
          </w:tcPr>
          <w:p>
            <w:pPr>
              <w:adjustRightInd w:val="0"/>
              <w:snapToGrid w:val="0"/>
              <w:jc w:val="center"/>
              <w:rPr>
                <w:rFonts w:ascii="宋体" w:hAnsi="宋体" w:cs="宋体"/>
                <w:color w:val="000000"/>
                <w:kern w:val="0"/>
                <w:szCs w:val="21"/>
              </w:rPr>
            </w:pPr>
            <w:r>
              <w:rPr>
                <w:rFonts w:hint="eastAsia" w:ascii="宋体" w:hAnsi="宋体" w:cs="宋体"/>
                <w:szCs w:val="21"/>
              </w:rPr>
              <w:t>《中华人民共和国消防法》第十六条</w:t>
            </w:r>
          </w:p>
        </w:tc>
        <w:tc>
          <w:tcPr>
            <w:tcW w:w="1614" w:type="dxa"/>
            <w:noWrap/>
            <w:vAlign w:val="center"/>
          </w:tcPr>
          <w:p>
            <w:pPr>
              <w:adjustRightInd w:val="0"/>
              <w:snapToGrid w:val="0"/>
              <w:rPr>
                <w:rFonts w:ascii="宋体" w:hAnsi="宋体" w:cs="宋体"/>
                <w:color w:val="000000"/>
                <w:kern w:val="0"/>
                <w:szCs w:val="21"/>
              </w:rPr>
            </w:pPr>
            <w:r>
              <w:rPr>
                <w:rFonts w:hint="eastAsia" w:ascii="宋体" w:hAnsi="宋体" w:cs="宋体"/>
                <w:szCs w:val="21"/>
              </w:rPr>
              <w:t>疏散通道畅通，安全出口有疏散标志。</w:t>
            </w:r>
          </w:p>
        </w:tc>
        <w:tc>
          <w:tcPr>
            <w:tcW w:w="1022" w:type="dxa"/>
            <w:noWrap/>
            <w:vAlign w:val="center"/>
          </w:tcPr>
          <w:p>
            <w:pPr>
              <w:adjustRightInd w:val="0"/>
              <w:snapToGrid w:val="0"/>
              <w:jc w:val="center"/>
              <w:rPr>
                <w:rFonts w:ascii="宋体" w:hAnsi="宋体" w:cs="宋体"/>
                <w:color w:val="000000"/>
                <w:kern w:val="0"/>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631" w:type="dxa"/>
            <w:noWrap/>
            <w:vAlign w:val="center"/>
          </w:tcPr>
          <w:p>
            <w:pPr>
              <w:adjustRightInd w:val="0"/>
              <w:snapToGrid w:val="0"/>
              <w:jc w:val="center"/>
              <w:rPr>
                <w:rFonts w:ascii="宋体" w:hAnsi="宋体" w:cs="宋体"/>
                <w:szCs w:val="21"/>
              </w:rPr>
            </w:pPr>
            <w:r>
              <w:rPr>
                <w:rFonts w:hint="eastAsia" w:ascii="宋体" w:hAnsi="宋体" w:cs="宋体"/>
                <w:szCs w:val="21"/>
              </w:rPr>
              <w:t>6</w:t>
            </w:r>
          </w:p>
        </w:tc>
        <w:tc>
          <w:tcPr>
            <w:tcW w:w="4336"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设置在建筑室内外供人员操作或使用的消防设施，均应设置区别于环境的明显标志。</w:t>
            </w:r>
          </w:p>
          <w:p>
            <w:pPr>
              <w:kinsoku w:val="0"/>
              <w:autoSpaceDE w:val="0"/>
              <w:autoSpaceDN w:val="0"/>
              <w:adjustRightInd w:val="0"/>
              <w:snapToGrid w:val="0"/>
              <w:rPr>
                <w:rFonts w:ascii="宋体" w:hAnsi="宋体" w:cs="宋体"/>
                <w:color w:val="000000"/>
                <w:kern w:val="0"/>
                <w:szCs w:val="21"/>
              </w:rPr>
            </w:pPr>
          </w:p>
        </w:tc>
        <w:tc>
          <w:tcPr>
            <w:tcW w:w="2394" w:type="dxa"/>
            <w:noWrap/>
            <w:vAlign w:val="center"/>
          </w:tcPr>
          <w:p>
            <w:pPr>
              <w:adjustRightInd w:val="0"/>
              <w:snapToGrid w:val="0"/>
              <w:jc w:val="center"/>
              <w:rPr>
                <w:rFonts w:ascii="宋体" w:hAnsi="宋体" w:cs="宋体"/>
                <w:szCs w:val="21"/>
              </w:rPr>
            </w:pPr>
            <w:r>
              <w:rPr>
                <w:rFonts w:hint="eastAsia" w:ascii="宋体" w:hAnsi="宋体" w:cs="宋体"/>
                <w:szCs w:val="21"/>
              </w:rPr>
              <w:t>《建筑设计防火规范（2018年版）》（GB 50016-2014）8.1.12</w:t>
            </w:r>
          </w:p>
        </w:tc>
        <w:tc>
          <w:tcPr>
            <w:tcW w:w="1614" w:type="dxa"/>
            <w:noWrap/>
            <w:vAlign w:val="center"/>
          </w:tcPr>
          <w:p>
            <w:pPr>
              <w:adjustRightInd w:val="0"/>
              <w:snapToGrid w:val="0"/>
              <w:rPr>
                <w:rFonts w:ascii="宋体" w:hAnsi="宋体" w:cs="宋体"/>
                <w:szCs w:val="21"/>
              </w:rPr>
            </w:pPr>
            <w:r>
              <w:rPr>
                <w:rFonts w:hint="eastAsia" w:ascii="宋体" w:hAnsi="宋体" w:cs="宋体"/>
                <w:szCs w:val="21"/>
              </w:rPr>
              <w:t>消防安全警示标志齐全。</w:t>
            </w:r>
          </w:p>
        </w:tc>
        <w:tc>
          <w:tcPr>
            <w:tcW w:w="1022"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bl>
    <w:p>
      <w:pPr>
        <w:pStyle w:val="50"/>
        <w:spacing w:line="360" w:lineRule="auto"/>
        <w:ind w:firstLine="560" w:firstLineChars="200"/>
        <w:rPr>
          <w:rFonts w:ascii="宋体" w:hAnsi="宋体" w:cs="宋体"/>
          <w:sz w:val="28"/>
          <w:szCs w:val="28"/>
        </w:rPr>
      </w:pPr>
      <w:r>
        <w:rPr>
          <w:rFonts w:hint="eastAsia" w:ascii="宋体" w:hAnsi="宋体" w:cs="宋体"/>
          <w:kern w:val="0"/>
          <w:sz w:val="28"/>
          <w:szCs w:val="28"/>
        </w:rPr>
        <w:t>通过检查，本项目安全警示标志、安全色设置齐全，设置清晰、醒目，易于识别。</w:t>
      </w:r>
    </w:p>
    <w:bookmarkEnd w:id="563"/>
    <w:bookmarkEnd w:id="564"/>
    <w:bookmarkEnd w:id="565"/>
    <w:bookmarkEnd w:id="566"/>
    <w:bookmarkEnd w:id="567"/>
    <w:bookmarkEnd w:id="568"/>
    <w:bookmarkEnd w:id="569"/>
    <w:bookmarkEnd w:id="570"/>
    <w:bookmarkEnd w:id="571"/>
    <w:bookmarkEnd w:id="572"/>
    <w:bookmarkEnd w:id="573"/>
    <w:bookmarkEnd w:id="574"/>
    <w:p>
      <w:pPr>
        <w:pStyle w:val="5"/>
        <w:keepNext w:val="0"/>
        <w:keepLines w:val="0"/>
        <w:snapToGrid w:val="0"/>
        <w:spacing w:before="0" w:after="0" w:line="360" w:lineRule="auto"/>
        <w:rPr>
          <w:rFonts w:ascii="宋体" w:hAnsi="宋体" w:cs="宋体"/>
          <w:sz w:val="28"/>
          <w:szCs w:val="28"/>
        </w:rPr>
      </w:pPr>
      <w:bookmarkStart w:id="576" w:name="_Toc3429"/>
      <w:bookmarkStart w:id="577" w:name="_Toc3771"/>
      <w:r>
        <w:rPr>
          <w:rFonts w:hint="eastAsia" w:ascii="宋体" w:hAnsi="宋体" w:cs="宋体"/>
          <w:sz w:val="28"/>
          <w:szCs w:val="28"/>
        </w:rPr>
        <w:t>5.5.4</w:t>
      </w:r>
      <w:r>
        <w:rPr>
          <w:rFonts w:hint="eastAsia" w:ascii="宋体" w:hAnsi="宋体" w:cs="宋体"/>
          <w:sz w:val="28"/>
          <w:szCs w:val="28"/>
          <w:lang w:val="en-US" w:eastAsia="zh-CN"/>
        </w:rPr>
        <w:t xml:space="preserve"> </w:t>
      </w:r>
      <w:r>
        <w:rPr>
          <w:rFonts w:hint="eastAsia" w:ascii="宋体" w:hAnsi="宋体" w:cs="宋体"/>
          <w:sz w:val="28"/>
          <w:szCs w:val="28"/>
        </w:rPr>
        <w:t>供气评价子单元</w:t>
      </w:r>
      <w:bookmarkEnd w:id="576"/>
      <w:bookmarkEnd w:id="577"/>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本节主要依据《压缩空气站设计规范》（GB50029-2014）的要求，用安全检查表，对本项目空气系统进行分析评价，检查结果见表。</w:t>
      </w:r>
    </w:p>
    <w:p>
      <w:pPr>
        <w:autoSpaceDE w:val="0"/>
        <w:autoSpaceDN w:val="0"/>
        <w:snapToGrid w:val="0"/>
        <w:spacing w:line="360" w:lineRule="auto"/>
        <w:jc w:val="center"/>
        <w:rPr>
          <w:rFonts w:ascii="宋体" w:hAnsi="宋体" w:cs="宋体"/>
          <w:bCs/>
          <w:sz w:val="24"/>
        </w:rPr>
      </w:pPr>
      <w:r>
        <w:rPr>
          <w:rFonts w:hint="eastAsia" w:ascii="宋体" w:hAnsi="宋体" w:cs="宋体"/>
          <w:bCs/>
          <w:sz w:val="24"/>
        </w:rPr>
        <w:t>表5.5-4 供气系统检查表</w:t>
      </w:r>
    </w:p>
    <w:tbl>
      <w:tblPr>
        <w:tblStyle w:val="52"/>
        <w:tblW w:w="980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1"/>
        <w:gridCol w:w="4871"/>
        <w:gridCol w:w="1975"/>
        <w:gridCol w:w="1911"/>
        <w:gridCol w:w="5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04" w:hRule="atLeast"/>
          <w:tblHeader/>
          <w:jc w:val="center"/>
        </w:trPr>
        <w:tc>
          <w:tcPr>
            <w:tcW w:w="491" w:type="dxa"/>
            <w:noWrap/>
            <w:vAlign w:val="center"/>
          </w:tcPr>
          <w:p>
            <w:pPr>
              <w:adjustRightInd w:val="0"/>
              <w:jc w:val="center"/>
              <w:rPr>
                <w:rFonts w:ascii="宋体" w:hAnsi="宋体"/>
                <w:b/>
                <w:sz w:val="24"/>
              </w:rPr>
            </w:pPr>
            <w:r>
              <w:rPr>
                <w:rFonts w:hint="eastAsia" w:ascii="宋体" w:hAnsi="宋体"/>
                <w:b/>
                <w:sz w:val="24"/>
              </w:rPr>
              <w:t>序号</w:t>
            </w:r>
          </w:p>
        </w:tc>
        <w:tc>
          <w:tcPr>
            <w:tcW w:w="4871" w:type="dxa"/>
            <w:noWrap/>
            <w:vAlign w:val="center"/>
          </w:tcPr>
          <w:p>
            <w:pPr>
              <w:adjustRightInd w:val="0"/>
              <w:jc w:val="center"/>
              <w:rPr>
                <w:rFonts w:ascii="宋体" w:hAnsi="宋体"/>
                <w:b/>
                <w:sz w:val="24"/>
              </w:rPr>
            </w:pPr>
            <w:r>
              <w:rPr>
                <w:rFonts w:hint="eastAsia" w:ascii="宋体" w:hAnsi="宋体"/>
                <w:b/>
                <w:sz w:val="24"/>
              </w:rPr>
              <w:t>检查内容</w:t>
            </w:r>
          </w:p>
        </w:tc>
        <w:tc>
          <w:tcPr>
            <w:tcW w:w="1975" w:type="dxa"/>
            <w:noWrap/>
            <w:vAlign w:val="center"/>
          </w:tcPr>
          <w:p>
            <w:pPr>
              <w:adjustRightInd w:val="0"/>
              <w:jc w:val="center"/>
              <w:rPr>
                <w:rFonts w:ascii="宋体" w:hAnsi="宋体"/>
                <w:b/>
                <w:sz w:val="24"/>
              </w:rPr>
            </w:pPr>
            <w:r>
              <w:rPr>
                <w:rFonts w:hint="eastAsia" w:ascii="宋体" w:hAnsi="宋体"/>
                <w:b/>
                <w:sz w:val="24"/>
              </w:rPr>
              <w:t>依据标准</w:t>
            </w:r>
          </w:p>
        </w:tc>
        <w:tc>
          <w:tcPr>
            <w:tcW w:w="1911" w:type="dxa"/>
            <w:noWrap/>
            <w:vAlign w:val="center"/>
          </w:tcPr>
          <w:p>
            <w:pPr>
              <w:adjustRightInd w:val="0"/>
              <w:jc w:val="center"/>
              <w:rPr>
                <w:rFonts w:ascii="宋体" w:hAnsi="宋体"/>
                <w:b/>
                <w:sz w:val="24"/>
              </w:rPr>
            </w:pPr>
            <w:r>
              <w:rPr>
                <w:rFonts w:hint="eastAsia" w:ascii="宋体" w:hAnsi="宋体"/>
                <w:b/>
                <w:sz w:val="24"/>
              </w:rPr>
              <w:t>检查情况</w:t>
            </w:r>
          </w:p>
        </w:tc>
        <w:tc>
          <w:tcPr>
            <w:tcW w:w="555" w:type="dxa"/>
            <w:noWrap/>
            <w:vAlign w:val="center"/>
          </w:tcPr>
          <w:p>
            <w:pPr>
              <w:adjustRightInd w:val="0"/>
              <w:jc w:val="center"/>
              <w:rPr>
                <w:rFonts w:ascii="宋体" w:hAnsi="宋体"/>
                <w:b/>
                <w:sz w:val="24"/>
              </w:rPr>
            </w:pPr>
            <w:r>
              <w:rPr>
                <w:rFonts w:hint="eastAsia" w:ascii="宋体" w:hAnsi="宋体"/>
                <w:b/>
                <w:sz w:val="24"/>
              </w:rPr>
              <w:t>结论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88" w:hRule="atLeast"/>
          <w:jc w:val="center"/>
        </w:trPr>
        <w:tc>
          <w:tcPr>
            <w:tcW w:w="491" w:type="dxa"/>
            <w:noWrap/>
            <w:vAlign w:val="center"/>
          </w:tcPr>
          <w:p>
            <w:pPr>
              <w:adjustRightInd w:val="0"/>
              <w:jc w:val="center"/>
              <w:rPr>
                <w:rFonts w:ascii="宋体" w:hAnsi="宋体" w:cs="宋体"/>
                <w:szCs w:val="21"/>
              </w:rPr>
            </w:pPr>
            <w:r>
              <w:rPr>
                <w:rFonts w:hint="eastAsia" w:ascii="宋体" w:hAnsi="宋体" w:cs="宋体"/>
                <w:szCs w:val="21"/>
              </w:rPr>
              <w:t>1</w:t>
            </w:r>
          </w:p>
        </w:tc>
        <w:tc>
          <w:tcPr>
            <w:tcW w:w="4871"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空气压缩机的吸气系统应设置空气过滤器或空气过滤装置。离心空气压缩机驱动电机的风冷系统进风口处，宜设置吸气过滤器或吸气过滤装置。离心空气压缩机与吸气过滤器或吸气过滤装置之间应设置可调节进气量的装置。</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《压缩空气站设计规范》</w:t>
            </w:r>
          </w:p>
          <w:p>
            <w:pPr>
              <w:widowControl/>
              <w:adjustRightInd w:val="0"/>
              <w:snapToGrid w:val="0"/>
              <w:jc w:val="center"/>
              <w:rPr>
                <w:rFonts w:ascii="宋体" w:hAnsi="宋体" w:cs="宋体"/>
                <w:kern w:val="0"/>
                <w:szCs w:val="21"/>
              </w:rPr>
            </w:pPr>
            <w:r>
              <w:rPr>
                <w:rFonts w:hint="eastAsia" w:ascii="宋体" w:hAnsi="宋体" w:cs="宋体"/>
                <w:kern w:val="0"/>
                <w:szCs w:val="21"/>
              </w:rPr>
              <w:t>（GB50029-2014）</w:t>
            </w:r>
          </w:p>
          <w:p>
            <w:pPr>
              <w:widowControl/>
              <w:adjustRightInd w:val="0"/>
              <w:snapToGrid w:val="0"/>
              <w:jc w:val="center"/>
              <w:rPr>
                <w:rFonts w:ascii="宋体" w:hAnsi="宋体" w:cs="宋体"/>
                <w:kern w:val="0"/>
                <w:szCs w:val="21"/>
              </w:rPr>
            </w:pPr>
            <w:r>
              <w:rPr>
                <w:rFonts w:hint="eastAsia" w:ascii="宋体" w:hAnsi="宋体" w:cs="宋体"/>
                <w:kern w:val="0"/>
                <w:szCs w:val="21"/>
              </w:rPr>
              <w:t>第3.0.3条</w:t>
            </w:r>
          </w:p>
        </w:tc>
        <w:tc>
          <w:tcPr>
            <w:tcW w:w="1911" w:type="dxa"/>
            <w:noWrap/>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空压机房内设置2台螺杆压缩机，并配套设置2台模芯式干燥机、2台精密过滤器和3台储气罐。</w:t>
            </w:r>
          </w:p>
        </w:tc>
        <w:tc>
          <w:tcPr>
            <w:tcW w:w="555" w:type="dxa"/>
            <w:noWrap/>
            <w:vAlign w:val="center"/>
          </w:tcPr>
          <w:p>
            <w:pPr>
              <w:adjustRightIn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3" w:hRule="atLeast"/>
          <w:jc w:val="center"/>
        </w:trPr>
        <w:tc>
          <w:tcPr>
            <w:tcW w:w="491" w:type="dxa"/>
            <w:noWrap/>
            <w:vAlign w:val="center"/>
          </w:tcPr>
          <w:p>
            <w:pPr>
              <w:adjustRightInd w:val="0"/>
              <w:jc w:val="center"/>
              <w:rPr>
                <w:rFonts w:ascii="宋体" w:hAnsi="宋体" w:cs="宋体"/>
                <w:szCs w:val="21"/>
              </w:rPr>
            </w:pPr>
            <w:r>
              <w:rPr>
                <w:rFonts w:hint="eastAsia" w:ascii="宋体" w:hAnsi="宋体" w:cs="宋体"/>
                <w:szCs w:val="21"/>
              </w:rPr>
              <w:t>2</w:t>
            </w:r>
          </w:p>
        </w:tc>
        <w:tc>
          <w:tcPr>
            <w:tcW w:w="4871"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储气罐上必须装设安全阀。储气罐与供气总管之间，应装设切断阀。</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《压缩空气站设计规范》</w:t>
            </w:r>
          </w:p>
          <w:p>
            <w:pPr>
              <w:widowControl/>
              <w:adjustRightInd w:val="0"/>
              <w:snapToGrid w:val="0"/>
              <w:jc w:val="center"/>
              <w:rPr>
                <w:rFonts w:ascii="宋体" w:hAnsi="宋体" w:cs="宋体"/>
                <w:kern w:val="0"/>
                <w:szCs w:val="21"/>
              </w:rPr>
            </w:pPr>
            <w:r>
              <w:rPr>
                <w:rFonts w:hint="eastAsia" w:ascii="宋体" w:hAnsi="宋体" w:cs="宋体"/>
                <w:kern w:val="0"/>
                <w:szCs w:val="21"/>
              </w:rPr>
              <w:t>（GB50029-2014）</w:t>
            </w:r>
          </w:p>
          <w:p>
            <w:pPr>
              <w:widowControl/>
              <w:adjustRightInd w:val="0"/>
              <w:snapToGrid w:val="0"/>
              <w:jc w:val="center"/>
              <w:rPr>
                <w:rFonts w:ascii="宋体" w:hAnsi="宋体" w:cs="宋体"/>
                <w:kern w:val="0"/>
                <w:szCs w:val="21"/>
              </w:rPr>
            </w:pPr>
            <w:r>
              <w:rPr>
                <w:rFonts w:hint="eastAsia" w:ascii="宋体" w:hAnsi="宋体" w:cs="宋体"/>
                <w:kern w:val="0"/>
                <w:szCs w:val="21"/>
              </w:rPr>
              <w:t>第3.0.18条</w:t>
            </w:r>
          </w:p>
        </w:tc>
        <w:tc>
          <w:tcPr>
            <w:tcW w:w="1911" w:type="dxa"/>
            <w:noWrap/>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设置安全阀、切断阀。</w:t>
            </w:r>
          </w:p>
        </w:tc>
        <w:tc>
          <w:tcPr>
            <w:tcW w:w="555" w:type="dxa"/>
            <w:noWrap/>
            <w:vAlign w:val="center"/>
          </w:tcPr>
          <w:p>
            <w:pPr>
              <w:adjustRightIn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41" w:hRule="atLeast"/>
          <w:jc w:val="center"/>
        </w:trPr>
        <w:tc>
          <w:tcPr>
            <w:tcW w:w="491" w:type="dxa"/>
            <w:noWrap/>
            <w:vAlign w:val="center"/>
          </w:tcPr>
          <w:p>
            <w:pPr>
              <w:adjustRightInd w:val="0"/>
              <w:jc w:val="center"/>
              <w:rPr>
                <w:rFonts w:ascii="宋体" w:hAnsi="宋体" w:cs="宋体"/>
                <w:szCs w:val="21"/>
              </w:rPr>
            </w:pPr>
            <w:r>
              <w:rPr>
                <w:rFonts w:hint="eastAsia" w:ascii="宋体" w:hAnsi="宋体" w:cs="宋体"/>
                <w:szCs w:val="21"/>
              </w:rPr>
              <w:t>3</w:t>
            </w:r>
          </w:p>
        </w:tc>
        <w:tc>
          <w:tcPr>
            <w:tcW w:w="4871"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压缩空气储气罐的布置应符合下列规定：1.应布置在室外或独立建筑内；2.储气罐布置在室外时，宜布置在建筑物的阴面，当设置在阳面时，宜加设遮阳棚；立式储气罐与机器间外墙的净距不应小于1m，并不宜影响采光和通风；布置在室外的罐组宜设置通透的围栏；3.在室外布置有困难时，工作压力小于10MPa、含油等级不低于3级的压缩空气储气罐，可布置在室内；当工作压力大于或等于10MPa、单个容积不大于10m</w:t>
            </w:r>
            <w:r>
              <w:rPr>
                <w:rFonts w:hint="eastAsia" w:ascii="宋体" w:hAnsi="宋体" w:cs="宋体"/>
                <w:kern w:val="0"/>
                <w:szCs w:val="21"/>
                <w:vertAlign w:val="superscript"/>
              </w:rPr>
              <w:t>3</w:t>
            </w:r>
            <w:r>
              <w:rPr>
                <w:rFonts w:hint="eastAsia" w:ascii="宋体" w:hAnsi="宋体" w:cs="宋体"/>
                <w:kern w:val="0"/>
                <w:szCs w:val="21"/>
              </w:rPr>
              <w:t>、含油等级不低于3级的压缩空气储气罐，总数量不超过3个时，可布置在与机器间毗邻的独立房间内。</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《压缩空气站设计规范》</w:t>
            </w:r>
          </w:p>
          <w:p>
            <w:pPr>
              <w:widowControl/>
              <w:adjustRightInd w:val="0"/>
              <w:snapToGrid w:val="0"/>
              <w:jc w:val="center"/>
              <w:rPr>
                <w:rFonts w:ascii="宋体" w:hAnsi="宋体" w:cs="宋体"/>
                <w:kern w:val="0"/>
                <w:szCs w:val="21"/>
              </w:rPr>
            </w:pPr>
            <w:r>
              <w:rPr>
                <w:rFonts w:hint="eastAsia" w:ascii="宋体" w:hAnsi="宋体" w:cs="宋体"/>
                <w:kern w:val="0"/>
                <w:szCs w:val="21"/>
              </w:rPr>
              <w:t>（GB50029-2014）</w:t>
            </w:r>
          </w:p>
          <w:p>
            <w:pPr>
              <w:widowControl/>
              <w:adjustRightInd w:val="0"/>
              <w:snapToGrid w:val="0"/>
              <w:jc w:val="center"/>
              <w:rPr>
                <w:rFonts w:ascii="宋体" w:hAnsi="宋体" w:cs="宋体"/>
                <w:kern w:val="0"/>
                <w:szCs w:val="21"/>
              </w:rPr>
            </w:pPr>
            <w:r>
              <w:rPr>
                <w:rFonts w:hint="eastAsia" w:ascii="宋体" w:hAnsi="宋体" w:cs="宋体"/>
                <w:kern w:val="0"/>
                <w:szCs w:val="21"/>
              </w:rPr>
              <w:t>第4.0.5条</w:t>
            </w:r>
          </w:p>
        </w:tc>
        <w:tc>
          <w:tcPr>
            <w:tcW w:w="1911" w:type="dxa"/>
            <w:noWrap/>
            <w:vAlign w:val="center"/>
          </w:tcPr>
          <w:p>
            <w:pPr>
              <w:adjustRightInd w:val="0"/>
              <w:snapToGrid w:val="0"/>
              <w:rPr>
                <w:rFonts w:ascii="宋体" w:hAnsi="宋体" w:cs="宋体"/>
                <w:szCs w:val="21"/>
              </w:rPr>
            </w:pPr>
            <w:r>
              <w:rPr>
                <w:rFonts w:hint="eastAsia" w:ascii="宋体" w:hAnsi="宋体" w:cs="宋体"/>
                <w:kern w:val="0"/>
                <w:szCs w:val="21"/>
              </w:rPr>
              <w:t>压缩空气储气罐设置在室内，2台空气储罐容积为8m</w:t>
            </w:r>
            <w:r>
              <w:rPr>
                <w:rFonts w:hint="eastAsia" w:ascii="宋体" w:hAnsi="宋体" w:cs="宋体"/>
                <w:kern w:val="0"/>
                <w:szCs w:val="21"/>
                <w:vertAlign w:val="superscript"/>
              </w:rPr>
              <w:t>3</w:t>
            </w:r>
            <w:r>
              <w:rPr>
                <w:rFonts w:hint="eastAsia" w:ascii="宋体" w:hAnsi="宋体" w:cs="宋体"/>
                <w:kern w:val="0"/>
                <w:szCs w:val="21"/>
              </w:rPr>
              <w:t>，1台空气储罐容积为1m</w:t>
            </w:r>
            <w:r>
              <w:rPr>
                <w:rFonts w:hint="eastAsia" w:ascii="宋体" w:hAnsi="宋体" w:cs="宋体"/>
                <w:kern w:val="0"/>
                <w:szCs w:val="21"/>
                <w:vertAlign w:val="superscript"/>
              </w:rPr>
              <w:t>3</w:t>
            </w:r>
            <w:r>
              <w:rPr>
                <w:rFonts w:hint="eastAsia" w:ascii="宋体" w:hAnsi="宋体" w:cs="宋体"/>
                <w:kern w:val="0"/>
                <w:szCs w:val="21"/>
              </w:rPr>
              <w:t>。</w:t>
            </w:r>
          </w:p>
        </w:tc>
        <w:tc>
          <w:tcPr>
            <w:tcW w:w="555"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3" w:hRule="atLeast"/>
          <w:jc w:val="center"/>
        </w:trPr>
        <w:tc>
          <w:tcPr>
            <w:tcW w:w="491" w:type="dxa"/>
            <w:noWrap/>
            <w:vAlign w:val="center"/>
          </w:tcPr>
          <w:p>
            <w:pPr>
              <w:adjustRightIn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4871" w:type="dxa"/>
            <w:noWrap/>
            <w:vAlign w:val="center"/>
          </w:tcPr>
          <w:p>
            <w:pPr>
              <w:widowControl/>
              <w:adjustRightInd w:val="0"/>
              <w:snapToGrid w:val="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空气压缩机组的联轴器和皮带传动部分必须装设安全防护设施。</w:t>
            </w:r>
          </w:p>
        </w:tc>
        <w:tc>
          <w:tcPr>
            <w:tcW w:w="1975" w:type="dxa"/>
            <w:noWrap/>
            <w:vAlign w:val="center"/>
          </w:tcPr>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《压缩空气站设计规范》</w:t>
            </w:r>
          </w:p>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（GB50029-2014）</w:t>
            </w:r>
          </w:p>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第4.0.14条</w:t>
            </w:r>
          </w:p>
        </w:tc>
        <w:tc>
          <w:tcPr>
            <w:tcW w:w="1911" w:type="dxa"/>
            <w:noWrap/>
            <w:vAlign w:val="center"/>
          </w:tcPr>
          <w:p>
            <w:pPr>
              <w:widowControl/>
              <w:adjustRightInd w:val="0"/>
              <w:snapToGrid w:val="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设有防护罩。</w:t>
            </w:r>
          </w:p>
        </w:tc>
        <w:tc>
          <w:tcPr>
            <w:tcW w:w="555" w:type="dxa"/>
            <w:noWrap/>
            <w:vAlign w:val="center"/>
          </w:tcPr>
          <w:p>
            <w:pPr>
              <w:adjustRightIn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3" w:hRule="atLeast"/>
          <w:jc w:val="center"/>
        </w:trPr>
        <w:tc>
          <w:tcPr>
            <w:tcW w:w="491" w:type="dxa"/>
            <w:noWrap/>
            <w:vAlign w:val="center"/>
          </w:tcPr>
          <w:p>
            <w:pPr>
              <w:adjustRightIn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4871" w:type="dxa"/>
            <w:noWrap/>
            <w:vAlign w:val="center"/>
          </w:tcPr>
          <w:p>
            <w:pPr>
              <w:widowControl/>
              <w:adjustRightInd w:val="0"/>
              <w:snapToGrid w:val="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压缩空气站的机器间内应设置380V和220V的专用检修电源。</w:t>
            </w:r>
          </w:p>
        </w:tc>
        <w:tc>
          <w:tcPr>
            <w:tcW w:w="1975" w:type="dxa"/>
            <w:noWrap/>
            <w:vAlign w:val="center"/>
          </w:tcPr>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《压缩空气站设计规范》</w:t>
            </w:r>
          </w:p>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（GB50029-2014）</w:t>
            </w:r>
          </w:p>
          <w:p>
            <w:pPr>
              <w:widowControl/>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第6.0.4条</w:t>
            </w:r>
          </w:p>
        </w:tc>
        <w:tc>
          <w:tcPr>
            <w:tcW w:w="1911" w:type="dxa"/>
            <w:noWrap/>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配有检修电源。</w:t>
            </w:r>
          </w:p>
        </w:tc>
        <w:tc>
          <w:tcPr>
            <w:tcW w:w="555" w:type="dxa"/>
            <w:noWrap/>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78" w:hRule="atLeast"/>
          <w:jc w:val="center"/>
        </w:trPr>
        <w:tc>
          <w:tcPr>
            <w:tcW w:w="491" w:type="dxa"/>
            <w:noWrap/>
            <w:vAlign w:val="center"/>
          </w:tcPr>
          <w:p>
            <w:pPr>
              <w:adjustRightInd w:val="0"/>
              <w:jc w:val="center"/>
              <w:rPr>
                <w:rFonts w:ascii="宋体" w:hAnsi="宋体" w:cs="宋体"/>
                <w:szCs w:val="21"/>
              </w:rPr>
            </w:pPr>
            <w:r>
              <w:rPr>
                <w:rFonts w:hint="eastAsia" w:ascii="宋体" w:hAnsi="宋体" w:cs="宋体"/>
                <w:szCs w:val="21"/>
              </w:rPr>
              <w:t>6</w:t>
            </w:r>
          </w:p>
        </w:tc>
        <w:tc>
          <w:tcPr>
            <w:tcW w:w="4871" w:type="dxa"/>
            <w:noWrap/>
            <w:vAlign w:val="center"/>
          </w:tcPr>
          <w:p>
            <w:pPr>
              <w:autoSpaceDE w:val="0"/>
              <w:autoSpaceDN w:val="0"/>
              <w:adjustRightInd w:val="0"/>
              <w:rPr>
                <w:rFonts w:ascii="宋体" w:hAnsi="宋体" w:cs="宋体"/>
                <w:kern w:val="0"/>
                <w:szCs w:val="21"/>
              </w:rPr>
            </w:pPr>
            <w:r>
              <w:rPr>
                <w:rFonts w:hint="eastAsia" w:ascii="宋体" w:hAnsi="宋体" w:cs="宋体"/>
                <w:kern w:val="0"/>
                <w:szCs w:val="21"/>
              </w:rPr>
              <w:t>压缩空气站的热工报警信号和自动保护控制装置应按附录E、附录F、附录G、附录H的规定装设。当设有集中控制室时，附录中应装设的热工报警信号应接入集中控制室。在控制室和机器旁均应设置空气压缩机紧急停车按钮。</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《压缩空气站设计规范》</w:t>
            </w:r>
          </w:p>
          <w:p>
            <w:pPr>
              <w:widowControl/>
              <w:adjustRightInd w:val="0"/>
              <w:snapToGrid w:val="0"/>
              <w:jc w:val="center"/>
              <w:rPr>
                <w:rFonts w:ascii="宋体" w:hAnsi="宋体" w:cs="宋体"/>
                <w:kern w:val="0"/>
                <w:szCs w:val="21"/>
              </w:rPr>
            </w:pPr>
            <w:r>
              <w:rPr>
                <w:rFonts w:hint="eastAsia" w:ascii="宋体" w:hAnsi="宋体" w:cs="宋体"/>
                <w:kern w:val="0"/>
                <w:szCs w:val="21"/>
              </w:rPr>
              <w:t>（GB50029-2014）</w:t>
            </w:r>
          </w:p>
          <w:p>
            <w:pPr>
              <w:widowControl/>
              <w:adjustRightInd w:val="0"/>
              <w:snapToGrid w:val="0"/>
              <w:jc w:val="center"/>
              <w:rPr>
                <w:rFonts w:ascii="宋体" w:hAnsi="宋体" w:cs="宋体"/>
                <w:kern w:val="0"/>
                <w:szCs w:val="21"/>
              </w:rPr>
            </w:pPr>
            <w:r>
              <w:rPr>
                <w:rFonts w:hint="eastAsia" w:ascii="宋体" w:hAnsi="宋体" w:cs="宋体"/>
                <w:kern w:val="0"/>
                <w:szCs w:val="21"/>
              </w:rPr>
              <w:t>第6.0.7条</w:t>
            </w:r>
          </w:p>
        </w:tc>
        <w:tc>
          <w:tcPr>
            <w:tcW w:w="1911" w:type="dxa"/>
            <w:noWrap/>
            <w:vAlign w:val="center"/>
          </w:tcPr>
          <w:p>
            <w:pPr>
              <w:adjustRightInd w:val="0"/>
              <w:snapToGrid w:val="0"/>
              <w:rPr>
                <w:rFonts w:ascii="宋体" w:hAnsi="宋体" w:cs="宋体"/>
                <w:szCs w:val="21"/>
              </w:rPr>
            </w:pPr>
            <w:r>
              <w:rPr>
                <w:rFonts w:hint="eastAsia" w:ascii="宋体" w:hAnsi="宋体" w:cs="宋体"/>
                <w:szCs w:val="21"/>
              </w:rPr>
              <w:t>空压机设有机旁开关。</w:t>
            </w:r>
          </w:p>
        </w:tc>
        <w:tc>
          <w:tcPr>
            <w:tcW w:w="555"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8" w:hRule="atLeast"/>
          <w:jc w:val="center"/>
        </w:trPr>
        <w:tc>
          <w:tcPr>
            <w:tcW w:w="491" w:type="dxa"/>
            <w:noWrap/>
            <w:vAlign w:val="center"/>
          </w:tcPr>
          <w:p>
            <w:pPr>
              <w:adjustRightInd w:val="0"/>
              <w:jc w:val="center"/>
              <w:rPr>
                <w:rFonts w:ascii="宋体" w:hAnsi="宋体" w:cs="宋体"/>
                <w:szCs w:val="21"/>
              </w:rPr>
            </w:pPr>
            <w:r>
              <w:rPr>
                <w:rFonts w:hint="eastAsia" w:ascii="宋体" w:hAnsi="宋体" w:cs="宋体"/>
                <w:szCs w:val="21"/>
              </w:rPr>
              <w:t>7</w:t>
            </w:r>
          </w:p>
        </w:tc>
        <w:tc>
          <w:tcPr>
            <w:tcW w:w="4871"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厂(矿)区敷设的压缩空气管道与其他管线及建筑物、构筑物之间的最小水平间距，应符合现行国家标准《工业企业总平面设计规范》GB 50187的有关规定。</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《压缩空气站设计规范》</w:t>
            </w:r>
          </w:p>
          <w:p>
            <w:pPr>
              <w:widowControl/>
              <w:adjustRightInd w:val="0"/>
              <w:snapToGrid w:val="0"/>
              <w:jc w:val="center"/>
              <w:rPr>
                <w:rFonts w:ascii="宋体" w:hAnsi="宋体" w:cs="宋体"/>
                <w:kern w:val="0"/>
                <w:szCs w:val="21"/>
              </w:rPr>
            </w:pPr>
            <w:r>
              <w:rPr>
                <w:rFonts w:hint="eastAsia" w:ascii="宋体" w:hAnsi="宋体" w:cs="宋体"/>
                <w:kern w:val="0"/>
                <w:szCs w:val="21"/>
              </w:rPr>
              <w:t>（GB50029-2014）</w:t>
            </w:r>
          </w:p>
          <w:p>
            <w:pPr>
              <w:widowControl/>
              <w:adjustRightInd w:val="0"/>
              <w:snapToGrid w:val="0"/>
              <w:jc w:val="center"/>
              <w:rPr>
                <w:rFonts w:ascii="宋体" w:hAnsi="宋体" w:cs="宋体"/>
                <w:kern w:val="0"/>
                <w:szCs w:val="21"/>
              </w:rPr>
            </w:pPr>
            <w:r>
              <w:rPr>
                <w:rFonts w:hint="eastAsia" w:ascii="宋体" w:hAnsi="宋体" w:cs="宋体"/>
                <w:kern w:val="0"/>
                <w:szCs w:val="21"/>
              </w:rPr>
              <w:t>第9.0.15条</w:t>
            </w:r>
          </w:p>
        </w:tc>
        <w:tc>
          <w:tcPr>
            <w:tcW w:w="1911" w:type="dxa"/>
            <w:noWrap/>
            <w:vAlign w:val="center"/>
          </w:tcPr>
          <w:p>
            <w:pPr>
              <w:adjustRightInd w:val="0"/>
              <w:snapToGrid w:val="0"/>
              <w:rPr>
                <w:rFonts w:ascii="宋体" w:hAnsi="宋体" w:cs="宋体"/>
                <w:szCs w:val="21"/>
              </w:rPr>
            </w:pPr>
            <w:r>
              <w:rPr>
                <w:rFonts w:hint="eastAsia" w:ascii="宋体" w:hAnsi="宋体" w:cs="宋体"/>
                <w:szCs w:val="21"/>
              </w:rPr>
              <w:t>压缩空气管线敷设符合要求。</w:t>
            </w:r>
          </w:p>
        </w:tc>
        <w:tc>
          <w:tcPr>
            <w:tcW w:w="555"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8" w:hRule="atLeast"/>
          <w:jc w:val="center"/>
        </w:trPr>
        <w:tc>
          <w:tcPr>
            <w:tcW w:w="491" w:type="dxa"/>
            <w:noWrap/>
            <w:vAlign w:val="center"/>
          </w:tcPr>
          <w:p>
            <w:pPr>
              <w:adjustRightInd w:val="0"/>
              <w:jc w:val="center"/>
              <w:rPr>
                <w:rFonts w:ascii="宋体" w:hAnsi="宋体" w:cs="宋体"/>
                <w:szCs w:val="21"/>
              </w:rPr>
            </w:pPr>
            <w:bookmarkStart w:id="578" w:name="_Toc27375"/>
            <w:r>
              <w:rPr>
                <w:rFonts w:hint="eastAsia" w:ascii="宋体" w:hAnsi="宋体" w:cs="宋体"/>
                <w:szCs w:val="21"/>
              </w:rPr>
              <w:t>8</w:t>
            </w:r>
          </w:p>
        </w:tc>
        <w:tc>
          <w:tcPr>
            <w:tcW w:w="4871"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仪表应按本规范5.3～5.6及5.10、5.11规定进行逐台检验若某台仪表中有一个检验项目不合格时，即判定该台仪表为不合格品；只有在所规定的出检验项目全部合格后，才能判定为合格品。合格品应附有合格证才能出厂。</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《一般压力表》（GB/T 1226-2017）</w:t>
            </w:r>
          </w:p>
          <w:p>
            <w:pPr>
              <w:widowControl/>
              <w:adjustRightInd w:val="0"/>
              <w:snapToGrid w:val="0"/>
              <w:jc w:val="center"/>
              <w:rPr>
                <w:rFonts w:ascii="宋体" w:hAnsi="宋体" w:cs="宋体"/>
                <w:kern w:val="0"/>
                <w:szCs w:val="21"/>
              </w:rPr>
            </w:pPr>
            <w:r>
              <w:rPr>
                <w:rFonts w:hint="eastAsia" w:ascii="宋体" w:hAnsi="宋体" w:cs="宋体"/>
                <w:kern w:val="0"/>
                <w:szCs w:val="21"/>
              </w:rPr>
              <w:t>7.1</w:t>
            </w:r>
          </w:p>
        </w:tc>
        <w:tc>
          <w:tcPr>
            <w:tcW w:w="1911" w:type="dxa"/>
            <w:noWrap/>
            <w:vAlign w:val="center"/>
          </w:tcPr>
          <w:p>
            <w:pPr>
              <w:adjustRightInd w:val="0"/>
              <w:snapToGrid w:val="0"/>
              <w:rPr>
                <w:rFonts w:ascii="宋体" w:hAnsi="宋体" w:cs="宋体"/>
                <w:szCs w:val="21"/>
              </w:rPr>
            </w:pPr>
            <w:r>
              <w:rPr>
                <w:rFonts w:hint="eastAsia" w:ascii="宋体" w:hAnsi="宋体" w:cs="宋体"/>
                <w:szCs w:val="21"/>
              </w:rPr>
              <w:t>压力表为合格品，附有合格证。</w:t>
            </w:r>
          </w:p>
        </w:tc>
        <w:tc>
          <w:tcPr>
            <w:tcW w:w="555"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8" w:hRule="atLeast"/>
          <w:jc w:val="center"/>
        </w:trPr>
        <w:tc>
          <w:tcPr>
            <w:tcW w:w="491" w:type="dxa"/>
            <w:noWrap/>
            <w:vAlign w:val="center"/>
          </w:tcPr>
          <w:p>
            <w:pPr>
              <w:adjustRightInd w:val="0"/>
              <w:jc w:val="center"/>
              <w:rPr>
                <w:rFonts w:ascii="宋体" w:hAnsi="宋体" w:cs="宋体"/>
                <w:szCs w:val="21"/>
              </w:rPr>
            </w:pPr>
            <w:r>
              <w:rPr>
                <w:rFonts w:hint="eastAsia" w:ascii="宋体" w:hAnsi="宋体" w:cs="宋体"/>
                <w:szCs w:val="21"/>
              </w:rPr>
              <w:t>9</w:t>
            </w:r>
          </w:p>
        </w:tc>
        <w:tc>
          <w:tcPr>
            <w:tcW w:w="4871"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仪表应有以下标志：1）生产商或商标；2）仪表名称；3）计量单位；4）精确度等级；5）制造年月及仪表编号。</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《一般压力表》（GB/T 1226-2017）</w:t>
            </w:r>
          </w:p>
          <w:p>
            <w:pPr>
              <w:widowControl/>
              <w:adjustRightInd w:val="0"/>
              <w:snapToGrid w:val="0"/>
              <w:jc w:val="center"/>
              <w:rPr>
                <w:rFonts w:ascii="宋体" w:hAnsi="宋体" w:cs="宋体"/>
                <w:kern w:val="0"/>
                <w:szCs w:val="21"/>
              </w:rPr>
            </w:pPr>
            <w:r>
              <w:rPr>
                <w:rFonts w:hint="eastAsia" w:ascii="宋体" w:hAnsi="宋体" w:cs="宋体"/>
                <w:kern w:val="0"/>
                <w:szCs w:val="21"/>
              </w:rPr>
              <w:t>8.1</w:t>
            </w:r>
          </w:p>
        </w:tc>
        <w:tc>
          <w:tcPr>
            <w:tcW w:w="1911" w:type="dxa"/>
            <w:noWrap/>
            <w:vAlign w:val="center"/>
          </w:tcPr>
          <w:p>
            <w:pPr>
              <w:adjustRightInd w:val="0"/>
              <w:snapToGrid w:val="0"/>
              <w:rPr>
                <w:rFonts w:ascii="宋体" w:hAnsi="宋体" w:cs="宋体"/>
                <w:szCs w:val="21"/>
              </w:rPr>
            </w:pPr>
            <w:r>
              <w:rPr>
                <w:rFonts w:hint="eastAsia" w:ascii="宋体" w:hAnsi="宋体" w:cs="宋体"/>
                <w:szCs w:val="21"/>
              </w:rPr>
              <w:t>压力表有标志。</w:t>
            </w:r>
          </w:p>
        </w:tc>
        <w:tc>
          <w:tcPr>
            <w:tcW w:w="555"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08" w:hRule="atLeast"/>
          <w:jc w:val="center"/>
        </w:trPr>
        <w:tc>
          <w:tcPr>
            <w:tcW w:w="491" w:type="dxa"/>
            <w:noWrap/>
            <w:vAlign w:val="center"/>
          </w:tcPr>
          <w:p>
            <w:pPr>
              <w:adjustRightInd w:val="0"/>
              <w:jc w:val="center"/>
              <w:rPr>
                <w:rFonts w:ascii="宋体" w:hAnsi="宋体" w:cs="宋体"/>
                <w:szCs w:val="21"/>
              </w:rPr>
            </w:pPr>
            <w:r>
              <w:rPr>
                <w:rFonts w:hint="eastAsia" w:ascii="宋体" w:hAnsi="宋体" w:cs="宋体"/>
                <w:szCs w:val="21"/>
              </w:rPr>
              <w:t>10</w:t>
            </w:r>
          </w:p>
        </w:tc>
        <w:tc>
          <w:tcPr>
            <w:tcW w:w="4871" w:type="dxa"/>
            <w:noWrap/>
            <w:vAlign w:val="center"/>
          </w:tcPr>
          <w:p>
            <w:pPr>
              <w:widowControl/>
              <w:adjustRightInd w:val="0"/>
              <w:snapToGrid w:val="0"/>
              <w:rPr>
                <w:rFonts w:ascii="宋体" w:hAnsi="宋体" w:cs="宋体"/>
                <w:kern w:val="0"/>
                <w:szCs w:val="21"/>
              </w:rPr>
            </w:pPr>
            <w:r>
              <w:rPr>
                <w:rFonts w:hint="eastAsia" w:ascii="宋体" w:hAnsi="宋体" w:cs="宋体"/>
                <w:kern w:val="0"/>
                <w:szCs w:val="21"/>
              </w:rPr>
              <w:t>从事使用中的安全阀校验的单位应当具有与校验工作相适应的校验技术负责人、技术人员以及校验装置、仪器和场地。</w:t>
            </w:r>
          </w:p>
          <w:p>
            <w:pPr>
              <w:widowControl/>
              <w:adjustRightInd w:val="0"/>
              <w:snapToGrid w:val="0"/>
              <w:rPr>
                <w:rFonts w:ascii="宋体" w:hAnsi="宋体" w:cs="宋体"/>
                <w:kern w:val="0"/>
                <w:szCs w:val="21"/>
              </w:rPr>
            </w:pPr>
            <w:r>
              <w:rPr>
                <w:rFonts w:hint="eastAsia" w:ascii="宋体" w:hAnsi="宋体" w:cs="宋体"/>
                <w:kern w:val="0"/>
                <w:szCs w:val="21"/>
              </w:rPr>
              <w:t>具备条件的安全阀使用单位。可以自行进行安全阀的校验工作、没有校验能力的使用单位，可以委托有安全阀校验资格的检验检测机构进行。</w:t>
            </w:r>
          </w:p>
          <w:p>
            <w:pPr>
              <w:widowControl/>
              <w:adjustRightInd w:val="0"/>
              <w:snapToGrid w:val="0"/>
              <w:rPr>
                <w:rFonts w:ascii="宋体" w:hAnsi="宋体" w:cs="宋体"/>
                <w:kern w:val="0"/>
                <w:szCs w:val="21"/>
              </w:rPr>
            </w:pPr>
            <w:r>
              <w:rPr>
                <w:rFonts w:hint="eastAsia" w:ascii="宋体" w:hAnsi="宋体" w:cs="宋体"/>
                <w:kern w:val="0"/>
                <w:szCs w:val="21"/>
              </w:rPr>
              <w:t>进行在用设备检验，安全阀使用单位自行进行安全阀校验时，应当将校验报告提交负责该设备检验的检验检测机构。</w:t>
            </w:r>
          </w:p>
          <w:p>
            <w:pPr>
              <w:widowControl/>
              <w:adjustRightInd w:val="0"/>
              <w:snapToGrid w:val="0"/>
              <w:rPr>
                <w:rFonts w:ascii="宋体" w:hAnsi="宋体" w:cs="宋体"/>
                <w:kern w:val="0"/>
                <w:szCs w:val="21"/>
              </w:rPr>
            </w:pPr>
            <w:r>
              <w:rPr>
                <w:rFonts w:hint="eastAsia" w:ascii="宋体" w:hAnsi="宋体" w:cs="宋体"/>
                <w:kern w:val="0"/>
                <w:szCs w:val="21"/>
              </w:rPr>
              <w:t>从事使用中的安全阀的运行维护、拆卸检修、校验工作的人员应当取得(特种设备作业人员证）</w:t>
            </w:r>
          </w:p>
        </w:tc>
        <w:tc>
          <w:tcPr>
            <w:tcW w:w="1975" w:type="dxa"/>
            <w:noWrap/>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《安全阀安全技术监察规程》(TSG ZF001-2006) 第七条</w:t>
            </w:r>
          </w:p>
        </w:tc>
        <w:tc>
          <w:tcPr>
            <w:tcW w:w="1911" w:type="dxa"/>
            <w:noWrap/>
            <w:vAlign w:val="center"/>
          </w:tcPr>
          <w:p>
            <w:pPr>
              <w:adjustRightInd w:val="0"/>
              <w:snapToGrid w:val="0"/>
              <w:rPr>
                <w:rFonts w:hint="default" w:ascii="宋体" w:hAnsi="宋体" w:eastAsia="宋体" w:cs="宋体"/>
                <w:szCs w:val="21"/>
                <w:lang w:val="en-US" w:eastAsia="zh-CN"/>
              </w:rPr>
            </w:pPr>
            <w:r>
              <w:rPr>
                <w:rFonts w:hint="eastAsia" w:ascii="宋体" w:hAnsi="宋体" w:cs="宋体"/>
                <w:color w:val="auto"/>
                <w:szCs w:val="21"/>
              </w:rPr>
              <w:t>安全阀</w:t>
            </w:r>
            <w:r>
              <w:rPr>
                <w:rFonts w:hint="eastAsia" w:ascii="宋体" w:hAnsi="宋体" w:cs="宋体"/>
                <w:color w:val="auto"/>
                <w:szCs w:val="21"/>
                <w:lang w:val="en-US" w:eastAsia="zh-CN"/>
              </w:rPr>
              <w:t>已</w:t>
            </w:r>
            <w:r>
              <w:rPr>
                <w:rFonts w:hint="eastAsia" w:ascii="宋体" w:hAnsi="宋体" w:cs="宋体"/>
                <w:color w:val="auto"/>
                <w:szCs w:val="21"/>
              </w:rPr>
              <w:t>校验</w:t>
            </w:r>
            <w:r>
              <w:rPr>
                <w:rFonts w:hint="eastAsia" w:ascii="宋体" w:hAnsi="宋体" w:cs="宋体"/>
                <w:color w:val="auto"/>
                <w:szCs w:val="21"/>
                <w:lang w:eastAsia="zh-CN"/>
              </w:rPr>
              <w:t>，</w:t>
            </w:r>
            <w:r>
              <w:rPr>
                <w:rFonts w:hint="eastAsia" w:ascii="宋体" w:hAnsi="宋体" w:cs="宋体"/>
                <w:color w:val="auto"/>
                <w:szCs w:val="21"/>
                <w:lang w:val="en-US" w:eastAsia="zh-CN"/>
              </w:rPr>
              <w:t>检验检验合格。</w:t>
            </w:r>
          </w:p>
        </w:tc>
        <w:tc>
          <w:tcPr>
            <w:tcW w:w="555" w:type="dxa"/>
            <w:noWrap/>
            <w:vAlign w:val="center"/>
          </w:tcPr>
          <w:p>
            <w:pPr>
              <w:adjustRightInd w:val="0"/>
              <w:snapToGrid w:val="0"/>
              <w:jc w:val="center"/>
              <w:rPr>
                <w:rFonts w:hint="eastAsia" w:ascii="宋体" w:hAnsi="宋体" w:eastAsia="宋体" w:cs="宋体"/>
                <w:szCs w:val="21"/>
                <w:lang w:val="en-US" w:eastAsia="zh-CN"/>
              </w:rPr>
            </w:pPr>
            <w:r>
              <w:rPr>
                <w:rFonts w:hint="eastAsia"/>
                <w:lang w:val="en-US" w:eastAsia="zh-CN"/>
              </w:rPr>
              <w:t>符合</w:t>
            </w:r>
          </w:p>
        </w:tc>
      </w:tr>
    </w:tbl>
    <w:p/>
    <w:p>
      <w:pPr>
        <w:pStyle w:val="5"/>
        <w:keepNext w:val="0"/>
        <w:keepLines w:val="0"/>
        <w:snapToGrid w:val="0"/>
        <w:spacing w:before="0" w:after="0" w:line="360" w:lineRule="auto"/>
        <w:rPr>
          <w:rFonts w:ascii="宋体" w:hAnsi="宋体" w:cs="宋体"/>
          <w:sz w:val="28"/>
          <w:szCs w:val="28"/>
        </w:rPr>
      </w:pPr>
      <w:bookmarkStart w:id="579" w:name="_Toc26188"/>
      <w:bookmarkStart w:id="580" w:name="_Toc778"/>
      <w:bookmarkStart w:id="581" w:name="_Toc14239"/>
      <w:r>
        <w:rPr>
          <w:rFonts w:hint="eastAsia" w:ascii="宋体" w:hAnsi="宋体" w:cs="宋体"/>
          <w:sz w:val="28"/>
          <w:szCs w:val="28"/>
        </w:rPr>
        <w:t>5.5.5</w:t>
      </w:r>
      <w:r>
        <w:rPr>
          <w:rFonts w:hint="eastAsia" w:ascii="宋体" w:hAnsi="宋体" w:cs="宋体"/>
          <w:sz w:val="28"/>
          <w:szCs w:val="28"/>
          <w:lang w:val="en-US" w:eastAsia="zh-CN"/>
        </w:rPr>
        <w:t xml:space="preserve"> </w:t>
      </w:r>
      <w:r>
        <w:rPr>
          <w:rFonts w:hint="eastAsia" w:ascii="宋体" w:hAnsi="宋体" w:cs="宋体"/>
          <w:sz w:val="28"/>
          <w:szCs w:val="28"/>
        </w:rPr>
        <w:t>特种设备及强制检测设施子单元</w:t>
      </w:r>
      <w:bookmarkEnd w:id="579"/>
      <w:bookmarkEnd w:id="580"/>
      <w:bookmarkEnd w:id="581"/>
    </w:p>
    <w:p>
      <w:pPr>
        <w:adjustRightInd w:val="0"/>
        <w:snapToGrid w:val="0"/>
        <w:spacing w:line="360" w:lineRule="auto"/>
        <w:jc w:val="center"/>
        <w:rPr>
          <w:rFonts w:ascii="宋体" w:hAnsi="宋体" w:cs="宋体"/>
          <w:snapToGrid w:val="0"/>
          <w:kern w:val="0"/>
          <w:sz w:val="28"/>
          <w:szCs w:val="28"/>
        </w:rPr>
      </w:pPr>
      <w:r>
        <w:rPr>
          <w:rFonts w:hint="eastAsia" w:ascii="宋体" w:hAnsi="宋体" w:cs="宋体"/>
          <w:bCs/>
          <w:sz w:val="28"/>
          <w:szCs w:val="28"/>
        </w:rPr>
        <w:t>表5.5-5特种设备及强制检测设施子单元安全检查表</w:t>
      </w:r>
    </w:p>
    <w:tbl>
      <w:tblPr>
        <w:tblStyle w:val="52"/>
        <w:tblpPr w:leftFromText="180" w:rightFromText="180" w:vertAnchor="text" w:horzAnchor="page" w:tblpX="1327" w:tblpY="538"/>
        <w:tblOverlap w:val="never"/>
        <w:tblW w:w="9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4541"/>
        <w:gridCol w:w="2281"/>
        <w:gridCol w:w="1994"/>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56" w:type="dxa"/>
            <w:noWrap/>
            <w:vAlign w:val="center"/>
          </w:tcPr>
          <w:p>
            <w:pPr>
              <w:adjustRightInd w:val="0"/>
              <w:snapToGrid w:val="0"/>
              <w:rPr>
                <w:rFonts w:ascii="宋体" w:hAnsi="宋体" w:cs="宋体"/>
                <w:b/>
                <w:bCs/>
                <w:szCs w:val="21"/>
              </w:rPr>
            </w:pPr>
            <w:r>
              <w:rPr>
                <w:rFonts w:hint="eastAsia" w:ascii="宋体" w:hAnsi="宋体" w:cs="宋体"/>
                <w:b/>
                <w:bCs/>
                <w:szCs w:val="21"/>
              </w:rPr>
              <w:t>序号</w:t>
            </w:r>
          </w:p>
        </w:tc>
        <w:tc>
          <w:tcPr>
            <w:tcW w:w="4541"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检查内容</w:t>
            </w:r>
          </w:p>
        </w:tc>
        <w:tc>
          <w:tcPr>
            <w:tcW w:w="2281"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依据标准</w:t>
            </w:r>
          </w:p>
        </w:tc>
        <w:tc>
          <w:tcPr>
            <w:tcW w:w="1994"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检查情况</w:t>
            </w:r>
          </w:p>
        </w:tc>
        <w:tc>
          <w:tcPr>
            <w:tcW w:w="510" w:type="dxa"/>
            <w:noWrap/>
            <w:vAlign w:val="center"/>
          </w:tcPr>
          <w:p>
            <w:pPr>
              <w:adjustRightInd w:val="0"/>
              <w:snapToGrid w:val="0"/>
              <w:jc w:val="center"/>
              <w:rPr>
                <w:rFonts w:ascii="宋体" w:hAnsi="宋体" w:cs="宋体"/>
                <w:b/>
                <w:bCs/>
                <w:szCs w:val="21"/>
              </w:rPr>
            </w:pPr>
            <w:r>
              <w:rPr>
                <w:rFonts w:hint="eastAsia" w:ascii="宋体" w:hAnsi="宋体" w:cs="宋体"/>
                <w:b/>
                <w:bCs/>
                <w:szCs w:val="21"/>
              </w:rPr>
              <w:t>检查</w:t>
            </w:r>
          </w:p>
          <w:p>
            <w:pPr>
              <w:adjustRightInd w:val="0"/>
              <w:snapToGrid w:val="0"/>
              <w:jc w:val="center"/>
              <w:rPr>
                <w:rFonts w:ascii="宋体" w:hAnsi="宋体" w:cs="宋体"/>
                <w:b/>
                <w:bCs/>
                <w:szCs w:val="21"/>
              </w:rPr>
            </w:pPr>
            <w:r>
              <w:rPr>
                <w:rFonts w:hint="eastAsia" w:ascii="宋体" w:hAnsi="宋体" w:cs="宋体"/>
                <w:b/>
                <w:bCs/>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特种设备安全管理人员、检测人员和作业人员应当按照国家有关规定取得相应资格，方可从事相关工作。特种设备安全管理人员、检测人员和作业人员应当严格执行安全技术规范和管理制度，保证特种设备安全。</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《中华人民共和国特种设备安全法》十四条</w:t>
            </w:r>
          </w:p>
        </w:tc>
        <w:tc>
          <w:tcPr>
            <w:tcW w:w="1994"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szCs w:val="21"/>
              </w:rPr>
              <w:t>特种作业人员已经过培训取证。</w:t>
            </w:r>
          </w:p>
        </w:tc>
        <w:tc>
          <w:tcPr>
            <w:tcW w:w="510"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2</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特种设备生产、经营、使用单位对其生产、经营、使用的特种设备应当进行自行检测和维护保养，对国家规定实行检验的特种设备应当及时申报并接受检验。</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《中华人民共和国特种设备安全法》十五条</w:t>
            </w:r>
          </w:p>
        </w:tc>
        <w:tc>
          <w:tcPr>
            <w:tcW w:w="1994"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szCs w:val="21"/>
              </w:rPr>
              <w:t>特种设备均已检测检验。</w:t>
            </w:r>
          </w:p>
        </w:tc>
        <w:tc>
          <w:tcPr>
            <w:tcW w:w="510"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3</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特种设备使用单位应当使用取得许可生产并经检验合格的特种设备。</w:t>
            </w:r>
          </w:p>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禁止使用国家明令淘汰和已经报废的特种设备。</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《中华人民共和国特种设备安全法》三十二条</w:t>
            </w:r>
          </w:p>
        </w:tc>
        <w:tc>
          <w:tcPr>
            <w:tcW w:w="1994"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szCs w:val="21"/>
              </w:rPr>
              <w:t>未使用国家明令淘汰和已经报废的特种设备。</w:t>
            </w:r>
          </w:p>
        </w:tc>
        <w:tc>
          <w:tcPr>
            <w:tcW w:w="510"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4</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特种设备使用单位应当在特种设备投入使用前或者投入使用后三十日内，向负责特种设备安全监督管理的部门办理使用登记，取得使用登记证书。登记标志应当置于该特种设备的显著位置。</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《中华人民共和国特种设备安全法》三十三条</w:t>
            </w:r>
          </w:p>
        </w:tc>
        <w:tc>
          <w:tcPr>
            <w:tcW w:w="1994" w:type="dxa"/>
            <w:noWrap/>
            <w:vAlign w:val="center"/>
          </w:tcPr>
          <w:p>
            <w:pPr>
              <w:kinsoku w:val="0"/>
              <w:autoSpaceDE w:val="0"/>
              <w:autoSpaceDN w:val="0"/>
              <w:adjustRightInd w:val="0"/>
              <w:snapToGrid w:val="0"/>
              <w:rPr>
                <w:rFonts w:ascii="宋体" w:hAnsi="宋体" w:cs="宋体"/>
                <w:szCs w:val="21"/>
              </w:rPr>
            </w:pPr>
            <w:r>
              <w:rPr>
                <w:rFonts w:hint="eastAsia" w:ascii="宋体" w:hAnsi="宋体" w:cs="宋体"/>
                <w:szCs w:val="21"/>
              </w:rPr>
              <w:t>特种设备已取得使用登记证。</w:t>
            </w:r>
          </w:p>
        </w:tc>
        <w:tc>
          <w:tcPr>
            <w:tcW w:w="510"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5</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特种设备使用单位应当建立岗位责任、隐患治理、应急救援等安全管理制度，制定操作规程，保证特种设备安全运行。</w:t>
            </w:r>
          </w:p>
        </w:tc>
        <w:tc>
          <w:tcPr>
            <w:tcW w:w="2281"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《中华人民共和国特种设备安全法》三十四条</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已建立相关管理制度和台账。</w:t>
            </w:r>
          </w:p>
        </w:tc>
        <w:tc>
          <w:tcPr>
            <w:tcW w:w="510"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6</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特种设备的使用应当具有规定的安全距离、安全防护措施。</w:t>
            </w:r>
          </w:p>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与特种设备安全相关的建筑物、附属设施，应当符合有关法律、行政法规的规定。</w:t>
            </w:r>
          </w:p>
        </w:tc>
        <w:tc>
          <w:tcPr>
            <w:tcW w:w="2281" w:type="dxa"/>
            <w:noWrap/>
            <w:vAlign w:val="center"/>
          </w:tcPr>
          <w:p>
            <w:pPr>
              <w:pStyle w:val="65"/>
              <w:spacing w:line="240" w:lineRule="auto"/>
              <w:ind w:firstLine="0"/>
              <w:jc w:val="center"/>
              <w:rPr>
                <w:rFonts w:ascii="宋体" w:hAnsi="宋体" w:cs="宋体"/>
                <w:color w:val="000000"/>
                <w:kern w:val="0"/>
                <w:sz w:val="21"/>
                <w:szCs w:val="21"/>
              </w:rPr>
            </w:pPr>
            <w:r>
              <w:rPr>
                <w:rFonts w:hint="eastAsia" w:ascii="宋体" w:hAnsi="宋体" w:cs="宋体"/>
                <w:color w:val="000000"/>
                <w:kern w:val="0"/>
                <w:sz w:val="21"/>
                <w:szCs w:val="21"/>
              </w:rPr>
              <w:t>《中华人民共和国特种设备安全法》三十七条</w:t>
            </w:r>
          </w:p>
        </w:tc>
        <w:tc>
          <w:tcPr>
            <w:tcW w:w="1994" w:type="dxa"/>
            <w:noWrap/>
            <w:vAlign w:val="center"/>
          </w:tcPr>
          <w:p>
            <w:pPr>
              <w:adjustRightInd w:val="0"/>
              <w:snapToGrid w:val="0"/>
              <w:rPr>
                <w:rFonts w:ascii="宋体" w:hAnsi="宋体" w:cs="宋体"/>
                <w:color w:val="000000"/>
                <w:kern w:val="0"/>
                <w:szCs w:val="21"/>
              </w:rPr>
            </w:pPr>
            <w:r>
              <w:rPr>
                <w:rFonts w:hint="eastAsia" w:ascii="宋体" w:hAnsi="宋体" w:cs="宋体"/>
                <w:color w:val="auto"/>
                <w:kern w:val="0"/>
                <w:szCs w:val="21"/>
              </w:rPr>
              <w:t>特种设备安全设施齐全，与特种设备相关的压力表、安全阀已检测检验。</w:t>
            </w:r>
          </w:p>
        </w:tc>
        <w:tc>
          <w:tcPr>
            <w:tcW w:w="510" w:type="dxa"/>
            <w:noWrap/>
            <w:vAlign w:val="center"/>
          </w:tcPr>
          <w:p>
            <w:pPr>
              <w:adjustRightInd w:val="0"/>
              <w:snapToGrid w:val="0"/>
              <w:jc w:val="center"/>
              <w:rPr>
                <w:rFonts w:ascii="宋体" w:hAnsi="宋体" w:cs="宋体"/>
                <w:color w:val="000000"/>
                <w:kern w:val="0"/>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7</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本规程适用范围内的压力容器，应当根据设计要求装设超压泄放装置(安全阀或者爆破片装置)，压力源来自压力容器外部，并且得到可靠控制时，超压泄放装置可以不直接安装在压力容器上。</w:t>
            </w:r>
          </w:p>
        </w:tc>
        <w:tc>
          <w:tcPr>
            <w:tcW w:w="2281"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《固定式压力容器安全技术监察规程》（TSG21-2016）9.1.2</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储气罐等压力容器设置有安全阀。</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8</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kern w:val="0"/>
                <w:szCs w:val="21"/>
              </w:rPr>
              <w:t>压力容器工作压力低于压力源压力时，在通向压力容器进口的管道上应当装设减压阀，如因介质条件减压阀无法保证可靠工作时，可用调节阀代替减压阀，在减压阀或者调节阀的低压侧，应当装设安全阀和压力表。</w:t>
            </w:r>
          </w:p>
        </w:tc>
        <w:tc>
          <w:tcPr>
            <w:tcW w:w="2281"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szCs w:val="21"/>
              </w:rPr>
              <w:t>《固定式压力容器安全技术监察规程》</w:t>
            </w:r>
            <w:r>
              <w:rPr>
                <w:rFonts w:hint="eastAsia" w:ascii="宋体" w:hAnsi="宋体" w:cs="宋体"/>
                <w:color w:val="000000"/>
                <w:kern w:val="0"/>
                <w:szCs w:val="21"/>
              </w:rPr>
              <w:t>（TSG21-2016）9.1.2</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储气罐上设有减压阀、安全阀和压力表。</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9</w:t>
            </w:r>
          </w:p>
        </w:tc>
        <w:tc>
          <w:tcPr>
            <w:tcW w:w="4541" w:type="dxa"/>
            <w:noWrap/>
            <w:vAlign w:val="center"/>
          </w:tcPr>
          <w:p>
            <w:pPr>
              <w:kinsoku w:val="0"/>
              <w:autoSpaceDE w:val="0"/>
              <w:autoSpaceDN w:val="0"/>
              <w:adjustRightInd w:val="0"/>
              <w:snapToGrid w:val="0"/>
              <w:rPr>
                <w:kern w:val="0"/>
                <w:szCs w:val="21"/>
              </w:rPr>
            </w:pPr>
            <w:r>
              <w:rPr>
                <w:rFonts w:hint="eastAsia"/>
                <w:kern w:val="0"/>
                <w:szCs w:val="21"/>
              </w:rPr>
              <w:t>使用单位应当保证压力容器使用前已经按照设计要求装设了超压泄放装置。</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《固定式压力容器安全技术监察规程》</w:t>
            </w:r>
            <w:r>
              <w:rPr>
                <w:rFonts w:hint="eastAsia" w:ascii="宋体" w:hAnsi="宋体" w:cs="宋体"/>
                <w:color w:val="000000"/>
                <w:kern w:val="0"/>
                <w:szCs w:val="21"/>
              </w:rPr>
              <w:t>（TSG21-2016）9.1.2</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压力储罐设有安全阀。</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10</w:t>
            </w:r>
          </w:p>
        </w:tc>
        <w:tc>
          <w:tcPr>
            <w:tcW w:w="4541" w:type="dxa"/>
            <w:noWrap/>
            <w:vAlign w:val="center"/>
          </w:tcPr>
          <w:p>
            <w:pPr>
              <w:kinsoku w:val="0"/>
              <w:autoSpaceDE w:val="0"/>
              <w:autoSpaceDN w:val="0"/>
              <w:adjustRightInd w:val="0"/>
              <w:snapToGrid w:val="0"/>
              <w:rPr>
                <w:kern w:val="0"/>
                <w:szCs w:val="21"/>
              </w:rPr>
            </w:pPr>
            <w:r>
              <w:rPr>
                <w:rFonts w:hint="eastAsia"/>
                <w:kern w:val="0"/>
                <w:szCs w:val="21"/>
              </w:rPr>
              <w:t>超压泄放装置应当安装在压力容器液面以上的气相空间部分，或者安装在与压力容器气相空间相连的管道上；安全阀应铅直安装。</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《固定式压力容器安全技术监察规程》</w:t>
            </w:r>
            <w:r>
              <w:rPr>
                <w:rFonts w:hint="eastAsia" w:ascii="宋体" w:hAnsi="宋体" w:cs="宋体"/>
                <w:color w:val="000000"/>
                <w:kern w:val="0"/>
                <w:szCs w:val="21"/>
              </w:rPr>
              <w:t>（TSG21-2016）9.1.3</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安全阀安装在储罐顶部。</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11</w:t>
            </w:r>
          </w:p>
        </w:tc>
        <w:tc>
          <w:tcPr>
            <w:tcW w:w="4541" w:type="dxa"/>
            <w:noWrap/>
            <w:vAlign w:val="center"/>
          </w:tcPr>
          <w:p>
            <w:pPr>
              <w:kinsoku w:val="0"/>
              <w:autoSpaceDE w:val="0"/>
              <w:autoSpaceDN w:val="0"/>
              <w:adjustRightInd w:val="0"/>
              <w:snapToGrid w:val="0"/>
              <w:rPr>
                <w:kern w:val="0"/>
                <w:szCs w:val="21"/>
              </w:rPr>
            </w:pPr>
            <w:r>
              <w:rPr>
                <w:rFonts w:hint="eastAsia"/>
                <w:kern w:val="0"/>
                <w:szCs w:val="21"/>
              </w:rPr>
              <w:t>压力容器与超压泄放装置之间的连接管和管件的通孔，其截面积不得小于超压泄放装置的进口截面积，其接管应当尽量短而直。</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《固定式压力容器安全技术监察规程》</w:t>
            </w:r>
            <w:r>
              <w:rPr>
                <w:rFonts w:hint="eastAsia" w:ascii="宋体" w:hAnsi="宋体" w:cs="宋体"/>
                <w:color w:val="000000"/>
                <w:kern w:val="0"/>
                <w:szCs w:val="21"/>
              </w:rPr>
              <w:t>（TSG21-2016）9.1.3</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连接管的管径不小于安全阀的进口截面积。</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12</w:t>
            </w:r>
          </w:p>
        </w:tc>
        <w:tc>
          <w:tcPr>
            <w:tcW w:w="4541" w:type="dxa"/>
            <w:noWrap/>
            <w:vAlign w:val="center"/>
          </w:tcPr>
          <w:p>
            <w:pPr>
              <w:topLinePunct/>
              <w:autoSpaceDE w:val="0"/>
              <w:autoSpaceDN w:val="0"/>
              <w:adjustRightInd w:val="0"/>
              <w:snapToGrid w:val="0"/>
              <w:rPr>
                <w:kern w:val="0"/>
                <w:szCs w:val="21"/>
              </w:rPr>
            </w:pPr>
            <w:r>
              <w:rPr>
                <w:rFonts w:hint="eastAsia"/>
                <w:kern w:val="0"/>
                <w:szCs w:val="21"/>
              </w:rPr>
              <w:t>超压泄放装置与压力容器之间一般不宜安装截止阀门;为实现安全阀的在线校验，可在安全阀与压力容器之间安装爆破片装置;对于盛装毒性危害程度为极度、高度、中度危害介质，易爆介质，腐蚀、粘性介质或者贵重介质的压力容器，为便于安全阀的清洗与更换，经过使用单位安全管理负责人批准，并且制定可靠的防范措施，方可在超压泄放装置与压力容器之间安装截止阀门，压力容器正常运行期间截止阀门必须保证全开(加铅封或者锁定)，截止阀门的结构和通径不得妨碍超压泄放装置的安全泄放。</w:t>
            </w:r>
          </w:p>
        </w:tc>
        <w:tc>
          <w:tcPr>
            <w:tcW w:w="2281" w:type="dxa"/>
            <w:noWrap/>
            <w:vAlign w:val="center"/>
          </w:tcPr>
          <w:p>
            <w:pPr>
              <w:kinsoku w:val="0"/>
              <w:autoSpaceDE w:val="0"/>
              <w:autoSpaceDN w:val="0"/>
              <w:adjustRightInd w:val="0"/>
              <w:snapToGrid w:val="0"/>
              <w:jc w:val="center"/>
              <w:rPr>
                <w:rFonts w:ascii="宋体" w:hAnsi="宋体" w:cs="宋体"/>
                <w:szCs w:val="21"/>
              </w:rPr>
            </w:pPr>
            <w:r>
              <w:rPr>
                <w:rFonts w:hint="eastAsia" w:ascii="宋体" w:hAnsi="宋体" w:cs="宋体"/>
                <w:szCs w:val="21"/>
              </w:rPr>
              <w:t>《固定式压力容器安全技术监察规程》</w:t>
            </w:r>
            <w:r>
              <w:rPr>
                <w:rFonts w:hint="eastAsia" w:ascii="宋体" w:hAnsi="宋体" w:cs="宋体"/>
                <w:color w:val="000000"/>
                <w:kern w:val="0"/>
                <w:szCs w:val="21"/>
              </w:rPr>
              <w:t>（TSG21-2016）9.1.3</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安全阀与储罐容器之间设置截止阀。</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13</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压力表的选用：</w:t>
            </w:r>
          </w:p>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 xml:space="preserve">(1)选用的压力表，应当与压力容器内的介质相适应； </w:t>
            </w:r>
          </w:p>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(2)设计压力小于1.6MPa压力容器使用的压力表的精度不得低于2</w:t>
            </w:r>
            <w:r>
              <w:rPr>
                <w:rFonts w:ascii="宋体" w:hAnsi="宋体" w:cs="宋体"/>
                <w:color w:val="000000"/>
                <w:kern w:val="0"/>
                <w:szCs w:val="21"/>
              </w:rPr>
              <w:t>.</w:t>
            </w:r>
            <w:r>
              <w:rPr>
                <w:rFonts w:hint="eastAsia" w:ascii="宋体" w:hAnsi="宋体" w:cs="宋体"/>
                <w:color w:val="000000"/>
                <w:kern w:val="0"/>
                <w:szCs w:val="21"/>
              </w:rPr>
              <w:t>5级，设计压力大于或者等于1</w:t>
            </w:r>
            <w:r>
              <w:rPr>
                <w:rFonts w:ascii="宋体" w:hAnsi="宋体" w:cs="宋体"/>
                <w:color w:val="000000"/>
                <w:kern w:val="0"/>
                <w:szCs w:val="21"/>
              </w:rPr>
              <w:t>.</w:t>
            </w:r>
            <w:r>
              <w:rPr>
                <w:rFonts w:hint="eastAsia" w:ascii="宋体" w:hAnsi="宋体" w:cs="宋体"/>
                <w:color w:val="000000"/>
                <w:kern w:val="0"/>
                <w:szCs w:val="21"/>
              </w:rPr>
              <w:t>6MPa压力容器使用的压力表的精度不得低于1</w:t>
            </w:r>
            <w:r>
              <w:rPr>
                <w:rFonts w:ascii="宋体" w:hAnsi="宋体" w:cs="宋体"/>
                <w:color w:val="000000"/>
                <w:kern w:val="0"/>
                <w:szCs w:val="21"/>
              </w:rPr>
              <w:t>.</w:t>
            </w:r>
            <w:r>
              <w:rPr>
                <w:rFonts w:hint="eastAsia" w:ascii="宋体" w:hAnsi="宋体" w:cs="宋体"/>
                <w:color w:val="000000"/>
                <w:kern w:val="0"/>
                <w:szCs w:val="21"/>
              </w:rPr>
              <w:t>6级；</w:t>
            </w:r>
          </w:p>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(3)压力表盘刻度极限值应当为最大允许工作压力的1</w:t>
            </w:r>
            <w:r>
              <w:rPr>
                <w:rFonts w:ascii="宋体" w:hAnsi="宋体" w:cs="宋体"/>
                <w:color w:val="000000"/>
                <w:kern w:val="0"/>
                <w:szCs w:val="21"/>
              </w:rPr>
              <w:t>.</w:t>
            </w:r>
            <w:r>
              <w:rPr>
                <w:rFonts w:hint="eastAsia" w:ascii="宋体" w:hAnsi="宋体" w:cs="宋体"/>
                <w:color w:val="000000"/>
                <w:kern w:val="0"/>
                <w:szCs w:val="21"/>
              </w:rPr>
              <w:t>5～3．0倍，表盘直径不得小于100mm。</w:t>
            </w:r>
          </w:p>
        </w:tc>
        <w:tc>
          <w:tcPr>
            <w:tcW w:w="2281" w:type="dxa"/>
            <w:noWrap/>
            <w:vAlign w:val="center"/>
          </w:tcPr>
          <w:p>
            <w:pPr>
              <w:pStyle w:val="65"/>
              <w:spacing w:line="240" w:lineRule="auto"/>
              <w:ind w:firstLine="0"/>
              <w:jc w:val="center"/>
              <w:rPr>
                <w:rFonts w:ascii="宋体" w:hAnsi="宋体" w:cs="宋体"/>
                <w:color w:val="000000"/>
                <w:kern w:val="0"/>
                <w:sz w:val="21"/>
                <w:szCs w:val="21"/>
              </w:rPr>
            </w:pPr>
            <w:r>
              <w:rPr>
                <w:rFonts w:hint="eastAsia" w:ascii="宋体" w:hAnsi="宋体" w:cs="宋体"/>
                <w:sz w:val="21"/>
                <w:szCs w:val="21"/>
              </w:rPr>
              <w:t>《固定式压力容器安全技术监察规程》</w:t>
            </w:r>
            <w:r>
              <w:rPr>
                <w:rFonts w:hint="eastAsia" w:ascii="宋体" w:hAnsi="宋体" w:cs="宋体"/>
                <w:color w:val="000000"/>
                <w:kern w:val="0"/>
                <w:sz w:val="21"/>
                <w:szCs w:val="21"/>
              </w:rPr>
              <w:t>（TSG21-2016）9.</w:t>
            </w:r>
            <w:r>
              <w:rPr>
                <w:rFonts w:ascii="宋体" w:hAnsi="宋体" w:cs="宋体"/>
                <w:color w:val="000000"/>
                <w:kern w:val="0"/>
                <w:sz w:val="21"/>
                <w:szCs w:val="21"/>
              </w:rPr>
              <w:t>2</w:t>
            </w:r>
            <w:r>
              <w:rPr>
                <w:rFonts w:hint="eastAsia" w:ascii="宋体" w:hAnsi="宋体" w:cs="宋体"/>
                <w:color w:val="000000"/>
                <w:kern w:val="0"/>
                <w:sz w:val="21"/>
                <w:szCs w:val="21"/>
              </w:rPr>
              <w:t>.1.1</w:t>
            </w:r>
          </w:p>
        </w:tc>
        <w:tc>
          <w:tcPr>
            <w:tcW w:w="1994" w:type="dxa"/>
            <w:noWrap/>
            <w:vAlign w:val="center"/>
          </w:tcPr>
          <w:p>
            <w:pPr>
              <w:pStyle w:val="65"/>
              <w:kinsoku w:val="0"/>
              <w:topLinePunct/>
              <w:autoSpaceDE w:val="0"/>
              <w:autoSpaceDN w:val="0"/>
              <w:adjustRightInd w:val="0"/>
              <w:snapToGrid w:val="0"/>
              <w:spacing w:line="240" w:lineRule="auto"/>
              <w:ind w:firstLine="0"/>
              <w:rPr>
                <w:rFonts w:ascii="宋体" w:hAnsi="宋体" w:cs="宋体"/>
                <w:color w:val="000000"/>
                <w:kern w:val="0"/>
                <w:sz w:val="21"/>
                <w:szCs w:val="21"/>
              </w:rPr>
            </w:pPr>
            <w:r>
              <w:rPr>
                <w:rFonts w:hint="eastAsia" w:ascii="宋体" w:hAnsi="宋体" w:cs="宋体"/>
                <w:color w:val="000000"/>
                <w:kern w:val="0"/>
                <w:sz w:val="21"/>
                <w:szCs w:val="21"/>
              </w:rPr>
              <w:t>压力表使用范围与工作介质和压力相适应。</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556" w:type="dxa"/>
            <w:noWrap/>
            <w:vAlign w:val="center"/>
          </w:tcPr>
          <w:p>
            <w:pPr>
              <w:adjustRightInd w:val="0"/>
              <w:snapToGrid w:val="0"/>
              <w:jc w:val="center"/>
              <w:rPr>
                <w:rFonts w:ascii="宋体" w:hAnsi="宋体" w:cs="宋体"/>
                <w:szCs w:val="21"/>
              </w:rPr>
            </w:pPr>
            <w:r>
              <w:rPr>
                <w:rFonts w:ascii="宋体" w:hAnsi="宋体" w:cs="宋体"/>
                <w:szCs w:val="21"/>
              </w:rPr>
              <w:t>14</w:t>
            </w:r>
          </w:p>
        </w:tc>
        <w:tc>
          <w:tcPr>
            <w:tcW w:w="4541" w:type="dxa"/>
            <w:noWrap/>
            <w:vAlign w:val="center"/>
          </w:tcPr>
          <w:p>
            <w:pPr>
              <w:kinsoku w:val="0"/>
              <w:autoSpaceDE w:val="0"/>
              <w:autoSpaceDN w:val="0"/>
              <w:adjustRightInd w:val="0"/>
              <w:snapToGrid w:val="0"/>
              <w:rPr>
                <w:rFonts w:ascii="宋体" w:hAnsi="宋体" w:cs="宋体"/>
                <w:color w:val="000000"/>
                <w:kern w:val="0"/>
                <w:szCs w:val="21"/>
              </w:rPr>
            </w:pPr>
            <w:r>
              <w:rPr>
                <w:kern w:val="0"/>
                <w:szCs w:val="21"/>
              </w:rPr>
              <w:t>压力表的校验和维护应当符合国家计量部门的有关规定，压力表安装前应当进行校验，在刻度盘上应当划出指示工作压力的红线，注明下次校验日期。压力表校验后应当加铅封。</w:t>
            </w:r>
          </w:p>
        </w:tc>
        <w:tc>
          <w:tcPr>
            <w:tcW w:w="2281" w:type="dxa"/>
            <w:noWrap/>
            <w:vAlign w:val="center"/>
          </w:tcPr>
          <w:p>
            <w:pPr>
              <w:kinsoku w:val="0"/>
              <w:autoSpaceDE w:val="0"/>
              <w:autoSpaceDN w:val="0"/>
              <w:adjustRightInd w:val="0"/>
              <w:snapToGrid w:val="0"/>
              <w:jc w:val="center"/>
              <w:rPr>
                <w:rFonts w:ascii="宋体" w:hAnsi="宋体" w:cs="宋体"/>
                <w:color w:val="auto"/>
                <w:kern w:val="0"/>
                <w:szCs w:val="21"/>
              </w:rPr>
            </w:pPr>
            <w:r>
              <w:rPr>
                <w:rFonts w:hint="eastAsia" w:ascii="宋体" w:hAnsi="宋体" w:cs="宋体"/>
                <w:color w:val="auto"/>
                <w:szCs w:val="21"/>
              </w:rPr>
              <w:t>《固定式压力容器安全技术监察规程》</w:t>
            </w:r>
            <w:r>
              <w:rPr>
                <w:rFonts w:hint="eastAsia" w:ascii="宋体" w:hAnsi="宋体" w:cs="宋体"/>
                <w:color w:val="auto"/>
                <w:kern w:val="0"/>
                <w:szCs w:val="21"/>
              </w:rPr>
              <w:t>（TSG21-2016）9.</w:t>
            </w:r>
            <w:r>
              <w:rPr>
                <w:rFonts w:ascii="宋体" w:hAnsi="宋体" w:cs="宋体"/>
                <w:color w:val="auto"/>
                <w:kern w:val="0"/>
                <w:szCs w:val="21"/>
              </w:rPr>
              <w:t>2</w:t>
            </w:r>
            <w:r>
              <w:rPr>
                <w:rFonts w:hint="eastAsia" w:ascii="宋体" w:hAnsi="宋体" w:cs="宋体"/>
                <w:color w:val="auto"/>
                <w:kern w:val="0"/>
                <w:szCs w:val="21"/>
              </w:rPr>
              <w:t>.1.</w:t>
            </w:r>
            <w:r>
              <w:rPr>
                <w:rFonts w:ascii="宋体" w:hAnsi="宋体" w:cs="宋体"/>
                <w:color w:val="auto"/>
                <w:kern w:val="0"/>
                <w:szCs w:val="21"/>
              </w:rPr>
              <w:t>2</w:t>
            </w:r>
          </w:p>
        </w:tc>
        <w:tc>
          <w:tcPr>
            <w:tcW w:w="1994" w:type="dxa"/>
            <w:noWrap/>
            <w:vAlign w:val="center"/>
          </w:tcPr>
          <w:p>
            <w:pPr>
              <w:kinsoku w:val="0"/>
              <w:autoSpaceDE w:val="0"/>
              <w:autoSpaceDN w:val="0"/>
              <w:adjustRightInd w:val="0"/>
              <w:snapToGrid w:val="0"/>
              <w:rPr>
                <w:rFonts w:ascii="宋体" w:hAnsi="宋体" w:cs="宋体"/>
                <w:color w:val="auto"/>
                <w:kern w:val="0"/>
                <w:szCs w:val="21"/>
              </w:rPr>
            </w:pPr>
            <w:r>
              <w:rPr>
                <w:rFonts w:hint="eastAsia" w:ascii="宋体" w:hAnsi="宋体" w:cs="宋体"/>
                <w:color w:val="auto"/>
                <w:szCs w:val="21"/>
              </w:rPr>
              <w:t>压力表定期校验，并有检验标识。</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15</w:t>
            </w:r>
          </w:p>
        </w:tc>
        <w:tc>
          <w:tcPr>
            <w:tcW w:w="4541" w:type="dxa"/>
            <w:noWrap/>
            <w:vAlign w:val="center"/>
          </w:tcPr>
          <w:p>
            <w:pPr>
              <w:pStyle w:val="47"/>
              <w:shd w:val="clear" w:color="auto" w:fill="FFFFFF"/>
              <w:spacing w:before="0" w:beforeAutospacing="0" w:after="0" w:afterAutospacing="0"/>
              <w:rPr>
                <w:rFonts w:cs="宋体"/>
                <w:color w:val="000000"/>
                <w:sz w:val="21"/>
                <w:szCs w:val="21"/>
              </w:rPr>
            </w:pPr>
            <w:r>
              <w:rPr>
                <w:rFonts w:hint="eastAsia" w:cs="宋体"/>
                <w:color w:val="000000"/>
                <w:sz w:val="21"/>
                <w:szCs w:val="21"/>
              </w:rPr>
              <w:t>特种设备使用单位应当按照安全技术规范的定期检验要求，在安全检验合格有效期届满前1个月向特种设备检验检测机构提出定期检验要求。</w:t>
            </w:r>
          </w:p>
          <w:p>
            <w:pPr>
              <w:pStyle w:val="47"/>
              <w:shd w:val="clear" w:color="auto" w:fill="FFFFFF"/>
              <w:spacing w:before="0" w:beforeAutospacing="0" w:after="0" w:afterAutospacing="0"/>
              <w:rPr>
                <w:rFonts w:cs="宋体"/>
                <w:color w:val="000000"/>
                <w:sz w:val="21"/>
                <w:szCs w:val="21"/>
              </w:rPr>
            </w:pPr>
            <w:r>
              <w:rPr>
                <w:rFonts w:hint="eastAsia" w:cs="宋体"/>
                <w:color w:val="000000"/>
                <w:sz w:val="21"/>
                <w:szCs w:val="21"/>
              </w:rPr>
              <w:t>检验检测机构接到定期检验要求后，应当按照安全技术规范的要求及时进行安全性能检验和能效测试。</w:t>
            </w:r>
          </w:p>
          <w:p>
            <w:pPr>
              <w:pStyle w:val="47"/>
              <w:shd w:val="clear" w:color="auto" w:fill="FFFFFF"/>
              <w:spacing w:before="0" w:beforeAutospacing="0" w:after="0" w:afterAutospacing="0"/>
              <w:rPr>
                <w:rFonts w:cs="宋体"/>
                <w:color w:val="000000"/>
                <w:sz w:val="21"/>
                <w:szCs w:val="21"/>
              </w:rPr>
            </w:pPr>
            <w:r>
              <w:rPr>
                <w:rFonts w:hint="eastAsia" w:cs="宋体"/>
                <w:color w:val="000000"/>
                <w:sz w:val="21"/>
                <w:szCs w:val="21"/>
              </w:rPr>
              <w:t>未经定期检验或者检验不合格的特种设备，不得继续使用。</w:t>
            </w:r>
          </w:p>
        </w:tc>
        <w:tc>
          <w:tcPr>
            <w:tcW w:w="2281"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《特种设备安全监察条例》（2003年3月11日中华人民共和国国务院令第373号公布，根据2009年1月24日《国务院关于修改〈特种设备安全监察条例〉的决定》（中华人民共和国国务院令第549号）修订）</w:t>
            </w:r>
          </w:p>
        </w:tc>
        <w:tc>
          <w:tcPr>
            <w:tcW w:w="1994" w:type="dxa"/>
            <w:noWrap/>
            <w:vAlign w:val="center"/>
          </w:tcPr>
          <w:p>
            <w:pPr>
              <w:pStyle w:val="47"/>
              <w:shd w:val="clear" w:color="auto" w:fill="FFFFFF"/>
              <w:spacing w:before="0" w:beforeAutospacing="0" w:after="0" w:afterAutospacing="0"/>
              <w:rPr>
                <w:rFonts w:cs="宋体"/>
                <w:color w:val="000000"/>
                <w:sz w:val="21"/>
                <w:szCs w:val="21"/>
              </w:rPr>
            </w:pPr>
            <w:r>
              <w:rPr>
                <w:rFonts w:hint="eastAsia" w:cs="宋体"/>
                <w:color w:val="000000"/>
                <w:sz w:val="21"/>
                <w:szCs w:val="21"/>
              </w:rPr>
              <w:t>本项目特种设备均按照安全技术规范的要求及时进行安全性能检验和能效测试。</w:t>
            </w:r>
          </w:p>
          <w:p>
            <w:pPr>
              <w:kinsoku w:val="0"/>
              <w:autoSpaceDE w:val="0"/>
              <w:autoSpaceDN w:val="0"/>
              <w:adjustRightInd w:val="0"/>
              <w:snapToGrid w:val="0"/>
              <w:rPr>
                <w:rFonts w:ascii="宋体" w:hAnsi="宋体" w:cs="宋体"/>
                <w:color w:val="000000"/>
                <w:kern w:val="0"/>
                <w:szCs w:val="21"/>
              </w:rPr>
            </w:pP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16</w:t>
            </w:r>
          </w:p>
        </w:tc>
        <w:tc>
          <w:tcPr>
            <w:tcW w:w="4541" w:type="dxa"/>
            <w:noWrap/>
            <w:vAlign w:val="center"/>
          </w:tcPr>
          <w:p>
            <w:pPr>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w:t>
            </w:r>
          </w:p>
        </w:tc>
        <w:tc>
          <w:tcPr>
            <w:tcW w:w="2281"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《特种设备安全监察条例》（2003年3月11日中华人民共和国国务院令第373号公布，根据2009年1月24日《国务院关于修改〈特种设备安全监察条例〉的决定》（中华人民共和国国务院令第549号）修订）</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本项目行车、叉车作业人员均取得相关证书。</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17</w:t>
            </w:r>
          </w:p>
        </w:tc>
        <w:tc>
          <w:tcPr>
            <w:tcW w:w="4541" w:type="dxa"/>
            <w:noWrap/>
            <w:vAlign w:val="center"/>
          </w:tcPr>
          <w:p>
            <w:pPr>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(1)平衡重式叉车应当设置前照灯、制动灯、转向灯等照明和信号装置，其他叉车根据使用工况设置照明和信号装置； (2)蓄电池叉车应当设置非自动复位且能切断总控制电源的紧急断电开关，并且 符合 GB/T 27544—2011《工业车辆 电气要求》中 5.1.5 的要求； (3)具有防爆功能的叉车，其电气设备和元件的选用应当符合相应防爆级别的要求，并且符合 GB3836.1—2010《爆炸性环境第 1 部分：设备 通用要求》和 GB19854—2005 的要求。</w:t>
            </w:r>
          </w:p>
        </w:tc>
        <w:tc>
          <w:tcPr>
            <w:tcW w:w="2281" w:type="dxa"/>
            <w:noWrap/>
            <w:vAlign w:val="center"/>
          </w:tcPr>
          <w:p>
            <w:pPr>
              <w:kinsoku w:val="0"/>
              <w:autoSpaceDE w:val="0"/>
              <w:autoSpaceDN w:val="0"/>
              <w:adjustRightInd w:val="0"/>
              <w:snapToGrid w:val="0"/>
              <w:jc w:val="center"/>
              <w:rPr>
                <w:rFonts w:ascii="宋体" w:hAnsi="宋体" w:cs="宋体"/>
                <w:color w:val="000000"/>
                <w:kern w:val="0"/>
                <w:szCs w:val="21"/>
              </w:rPr>
            </w:pPr>
            <w:r>
              <w:rPr>
                <w:rFonts w:hint="eastAsia" w:ascii="宋体" w:hAnsi="宋体" w:cs="宋体"/>
                <w:color w:val="000000"/>
                <w:kern w:val="0"/>
                <w:szCs w:val="21"/>
              </w:rPr>
              <w:t>《场(厂)内专用机动车辆安全技术监察规程》（2017年1月16日国家质检总局发布）</w:t>
            </w:r>
          </w:p>
        </w:tc>
        <w:tc>
          <w:tcPr>
            <w:tcW w:w="1994" w:type="dxa"/>
            <w:noWrap/>
            <w:vAlign w:val="center"/>
          </w:tcPr>
          <w:p>
            <w:pPr>
              <w:kinsoku w:val="0"/>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本项目所用叉车为利旧，照明和信号装置等满足要求。</w:t>
            </w:r>
          </w:p>
        </w:tc>
        <w:tc>
          <w:tcPr>
            <w:tcW w:w="510" w:type="dxa"/>
            <w:noWrap/>
            <w:vAlign w:val="center"/>
          </w:tcPr>
          <w:p>
            <w:pPr>
              <w:adjustRightInd w:val="0"/>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556" w:type="dxa"/>
            <w:noWrap/>
            <w:vAlign w:val="center"/>
          </w:tcPr>
          <w:p>
            <w:pPr>
              <w:adjustRightInd w:val="0"/>
              <w:snapToGrid w:val="0"/>
              <w:jc w:val="center"/>
              <w:rPr>
                <w:rFonts w:ascii="宋体" w:hAnsi="宋体" w:cs="宋体"/>
                <w:szCs w:val="21"/>
              </w:rPr>
            </w:pPr>
            <w:r>
              <w:rPr>
                <w:rFonts w:hint="eastAsia" w:ascii="宋体" w:hAnsi="宋体" w:cs="宋体"/>
                <w:szCs w:val="21"/>
              </w:rPr>
              <w:t>18</w:t>
            </w:r>
          </w:p>
        </w:tc>
        <w:tc>
          <w:tcPr>
            <w:tcW w:w="4541" w:type="dxa"/>
            <w:noWrap/>
            <w:vAlign w:val="center"/>
          </w:tcPr>
          <w:p>
            <w:pPr>
              <w:snapToGrid w:val="0"/>
              <w:jc w:val="left"/>
              <w:rPr>
                <w:rFonts w:ascii="宋体" w:hAnsi="宋体" w:cs="宋体"/>
                <w:szCs w:val="21"/>
              </w:rPr>
            </w:pPr>
            <w:r>
              <w:rPr>
                <w:rFonts w:hint="eastAsia" w:ascii="宋体" w:hAnsi="宋体" w:cs="宋体"/>
                <w:szCs w:val="21"/>
              </w:rPr>
              <w:t>起重机械电气设备应满足起重机械风险评价所确定的安全要求。根据起重机械的预期使用和电气设备情况,设计者可选择符合IEC 60439-1要求的电气设备部件,必要时,也可选择符合IEC 60439系列要求的其他相关部件。</w:t>
            </w:r>
          </w:p>
        </w:tc>
        <w:tc>
          <w:tcPr>
            <w:tcW w:w="2281" w:type="dxa"/>
            <w:noWrap/>
            <w:vAlign w:val="center"/>
          </w:tcPr>
          <w:p>
            <w:pPr>
              <w:snapToGrid w:val="0"/>
              <w:jc w:val="center"/>
              <w:rPr>
                <w:rFonts w:ascii="宋体" w:hAnsi="宋体" w:cs="宋体"/>
                <w:szCs w:val="21"/>
              </w:rPr>
            </w:pPr>
            <w:r>
              <w:rPr>
                <w:rFonts w:hint="eastAsia" w:ascii="宋体" w:hAnsi="宋体" w:cs="宋体"/>
                <w:szCs w:val="21"/>
              </w:rPr>
              <w:t>《机械电气安全机械电气设备第32部分：起重机械技术条件（2008版）》（GBT5226.32-2017）4.2.3</w:t>
            </w:r>
          </w:p>
        </w:tc>
        <w:tc>
          <w:tcPr>
            <w:tcW w:w="1994" w:type="dxa"/>
            <w:noWrap/>
            <w:vAlign w:val="center"/>
          </w:tcPr>
          <w:p>
            <w:pPr>
              <w:snapToGrid w:val="0"/>
              <w:jc w:val="left"/>
              <w:rPr>
                <w:rFonts w:ascii="宋体" w:hAnsi="宋体" w:cs="宋体"/>
                <w:szCs w:val="21"/>
              </w:rPr>
            </w:pPr>
            <w:r>
              <w:rPr>
                <w:rFonts w:hint="eastAsia" w:ascii="宋体" w:hAnsi="宋体" w:cs="宋体"/>
                <w:szCs w:val="21"/>
              </w:rPr>
              <w:t>项目所用起重设备满足起重机械风险评价所确定的安全要求。</w:t>
            </w:r>
          </w:p>
        </w:tc>
        <w:tc>
          <w:tcPr>
            <w:tcW w:w="510" w:type="dxa"/>
            <w:noWrap/>
            <w:vAlign w:val="center"/>
          </w:tcPr>
          <w:p>
            <w:pPr>
              <w:snapToGrid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56" w:type="dxa"/>
            <w:vAlign w:val="center"/>
          </w:tcPr>
          <w:p>
            <w:pPr>
              <w:adjustRightInd w:val="0"/>
              <w:snapToGrid w:val="0"/>
              <w:jc w:val="center"/>
              <w:rPr>
                <w:rFonts w:ascii="宋体" w:hAnsi="宋体" w:cs="宋体"/>
                <w:szCs w:val="21"/>
              </w:rPr>
            </w:pPr>
            <w:r>
              <w:rPr>
                <w:rFonts w:hint="eastAsia" w:ascii="宋体" w:hAnsi="宋体" w:cs="宋体"/>
                <w:szCs w:val="21"/>
              </w:rPr>
              <w:t>19</w:t>
            </w:r>
          </w:p>
        </w:tc>
        <w:tc>
          <w:tcPr>
            <w:tcW w:w="4541" w:type="dxa"/>
            <w:vAlign w:val="center"/>
          </w:tcPr>
          <w:p>
            <w:pPr>
              <w:pStyle w:val="47"/>
              <w:widowControl w:val="0"/>
              <w:snapToGrid w:val="0"/>
              <w:spacing w:before="0" w:beforeAutospacing="0" w:after="0" w:afterAutospacing="0"/>
              <w:rPr>
                <w:rFonts w:cs="宋体"/>
                <w:kern w:val="2"/>
                <w:sz w:val="21"/>
                <w:szCs w:val="21"/>
              </w:rPr>
            </w:pPr>
            <w:r>
              <w:rPr>
                <w:rFonts w:hint="eastAsia" w:cs="宋体"/>
                <w:kern w:val="2"/>
                <w:sz w:val="21"/>
                <w:szCs w:val="21"/>
              </w:rPr>
              <w:t>电气设备应能在预期环境温度中正常工作。对所有电气设备的最低要求是在环境温度0℃～＋40℃范围内应能正常工作。对于高温环境（如热带气候、钢厂、造纸厂）和寒冷环境，建议规定附加要求（参见附录B）。</w:t>
            </w:r>
          </w:p>
        </w:tc>
        <w:tc>
          <w:tcPr>
            <w:tcW w:w="2281" w:type="dxa"/>
            <w:vAlign w:val="center"/>
          </w:tcPr>
          <w:p>
            <w:pPr>
              <w:snapToGrid w:val="0"/>
              <w:jc w:val="center"/>
              <w:rPr>
                <w:rFonts w:ascii="宋体" w:hAnsi="宋体" w:cs="宋体"/>
                <w:szCs w:val="21"/>
              </w:rPr>
            </w:pPr>
            <w:r>
              <w:rPr>
                <w:rFonts w:hint="eastAsia" w:ascii="宋体" w:hAnsi="宋体" w:cs="宋体"/>
                <w:szCs w:val="21"/>
              </w:rPr>
              <w:t>《机械电气安全机械电气设备第32部分：起重机械技术条件（2008版）》（GBT5226.32-2017）4.4.3</w:t>
            </w:r>
          </w:p>
        </w:tc>
        <w:tc>
          <w:tcPr>
            <w:tcW w:w="1994" w:type="dxa"/>
            <w:vAlign w:val="center"/>
          </w:tcPr>
          <w:p>
            <w:pPr>
              <w:snapToGrid w:val="0"/>
              <w:jc w:val="left"/>
              <w:rPr>
                <w:rFonts w:ascii="宋体" w:hAnsi="宋体" w:cs="宋体"/>
                <w:szCs w:val="21"/>
              </w:rPr>
            </w:pPr>
            <w:r>
              <w:rPr>
                <w:rFonts w:hint="eastAsia" w:ascii="宋体" w:hAnsi="宋体" w:cs="宋体"/>
                <w:szCs w:val="21"/>
              </w:rPr>
              <w:t>该项目生产过程均在厂房内进行，温差变化不大，电气设备能正常工作。</w:t>
            </w:r>
          </w:p>
        </w:tc>
        <w:tc>
          <w:tcPr>
            <w:tcW w:w="510" w:type="dxa"/>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6" w:type="dxa"/>
            <w:vAlign w:val="center"/>
          </w:tcPr>
          <w:p>
            <w:pPr>
              <w:adjustRightInd w:val="0"/>
              <w:snapToGrid w:val="0"/>
              <w:jc w:val="center"/>
              <w:rPr>
                <w:rFonts w:ascii="宋体" w:hAnsi="宋体" w:cs="宋体"/>
                <w:szCs w:val="21"/>
              </w:rPr>
            </w:pPr>
            <w:r>
              <w:rPr>
                <w:rFonts w:hint="eastAsia" w:ascii="宋体" w:hAnsi="宋体" w:cs="宋体"/>
                <w:szCs w:val="21"/>
              </w:rPr>
              <w:t>20</w:t>
            </w:r>
          </w:p>
        </w:tc>
        <w:tc>
          <w:tcPr>
            <w:tcW w:w="4541" w:type="dxa"/>
            <w:vAlign w:val="center"/>
          </w:tcPr>
          <w:p>
            <w:pPr>
              <w:snapToGrid w:val="0"/>
              <w:jc w:val="left"/>
              <w:rPr>
                <w:rFonts w:ascii="宋体" w:hAnsi="宋体" w:cs="宋体"/>
                <w:szCs w:val="21"/>
              </w:rPr>
            </w:pPr>
            <w:r>
              <w:rPr>
                <w:rFonts w:hint="eastAsia" w:ascii="宋体" w:hAnsi="宋体" w:cs="宋体"/>
                <w:szCs w:val="21"/>
              </w:rPr>
              <w:t>起重机电源开关应具备:</w:t>
            </w:r>
          </w:p>
          <w:p>
            <w:pPr>
              <w:snapToGrid w:val="0"/>
              <w:jc w:val="left"/>
              <w:rPr>
                <w:rFonts w:ascii="宋体" w:hAnsi="宋体" w:cs="宋体"/>
                <w:szCs w:val="21"/>
              </w:rPr>
            </w:pPr>
            <w:r>
              <w:rPr>
                <w:rFonts w:hint="eastAsia" w:ascii="宋体" w:hAnsi="宋体" w:cs="宋体"/>
                <w:szCs w:val="21"/>
              </w:rPr>
              <w:t>1）为进行修理和维护工作(如在起重机械集电导线上进行维护工作)从引入电源上断开(隔离)连接起重机械的集电导线、滑触线或电缆;在需要紧急停止和或紧急断开时切断电源(见9.2.5.4)。</w:t>
            </w:r>
          </w:p>
          <w:p>
            <w:pPr>
              <w:snapToGrid w:val="0"/>
              <w:jc w:val="left"/>
              <w:rPr>
                <w:rFonts w:ascii="宋体" w:hAnsi="宋体" w:cs="宋体"/>
                <w:szCs w:val="21"/>
              </w:rPr>
            </w:pPr>
            <w:r>
              <w:rPr>
                <w:rFonts w:hint="eastAsia" w:ascii="宋体" w:hAnsi="宋体" w:cs="宋体"/>
                <w:szCs w:val="21"/>
              </w:rPr>
              <w:t>2）在使用两个或多个引入电源时,每个电源都应设有起重机电源开关以及保护联锁装置,以确保正确操作。</w:t>
            </w:r>
          </w:p>
          <w:p>
            <w:pPr>
              <w:snapToGrid w:val="0"/>
              <w:jc w:val="left"/>
              <w:rPr>
                <w:rFonts w:ascii="宋体" w:hAnsi="宋体" w:cs="宋体"/>
                <w:szCs w:val="21"/>
              </w:rPr>
            </w:pPr>
            <w:r>
              <w:rPr>
                <w:rFonts w:hint="eastAsia" w:ascii="宋体" w:hAnsi="宋体" w:cs="宋体"/>
                <w:szCs w:val="21"/>
              </w:rPr>
              <w:t>5.6的要求适用于起重机电源开关。</w:t>
            </w:r>
          </w:p>
        </w:tc>
        <w:tc>
          <w:tcPr>
            <w:tcW w:w="2281" w:type="dxa"/>
            <w:vAlign w:val="center"/>
          </w:tcPr>
          <w:p>
            <w:pPr>
              <w:snapToGrid w:val="0"/>
              <w:jc w:val="center"/>
              <w:rPr>
                <w:rFonts w:ascii="宋体" w:hAnsi="宋体" w:cs="宋体"/>
                <w:szCs w:val="21"/>
              </w:rPr>
            </w:pPr>
            <w:r>
              <w:rPr>
                <w:rFonts w:hint="eastAsia" w:ascii="宋体" w:hAnsi="宋体" w:cs="宋体"/>
                <w:szCs w:val="21"/>
              </w:rPr>
              <w:t>《机械电气安全机械电气设备第32部分：起重机械技术条件（2008版）》（GBT5226.32-2017）5.3.5.1</w:t>
            </w:r>
          </w:p>
        </w:tc>
        <w:tc>
          <w:tcPr>
            <w:tcW w:w="1994" w:type="dxa"/>
            <w:vAlign w:val="center"/>
          </w:tcPr>
          <w:p>
            <w:pPr>
              <w:snapToGrid w:val="0"/>
              <w:jc w:val="left"/>
              <w:rPr>
                <w:rFonts w:ascii="宋体" w:hAnsi="宋体" w:cs="宋体"/>
                <w:szCs w:val="21"/>
              </w:rPr>
            </w:pPr>
            <w:r>
              <w:rPr>
                <w:rFonts w:hint="eastAsia" w:ascii="宋体" w:hAnsi="宋体" w:cs="宋体"/>
                <w:szCs w:val="21"/>
              </w:rPr>
              <w:t>设有专门的控制室和移动式操作开关，能紧急停止起重机。</w:t>
            </w:r>
          </w:p>
        </w:tc>
        <w:tc>
          <w:tcPr>
            <w:tcW w:w="510" w:type="dxa"/>
            <w:vAlign w:val="center"/>
          </w:tcPr>
          <w:p>
            <w:pPr>
              <w:snapToGrid w:val="0"/>
              <w:jc w:val="center"/>
              <w:rPr>
                <w:rFonts w:ascii="宋体" w:hAnsi="宋体"/>
                <w:szCs w:val="21"/>
              </w:rPr>
            </w:pPr>
            <w:r>
              <w:rPr>
                <w:rFonts w:hint="eastAsia" w:ascii="宋体"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56" w:type="dxa"/>
            <w:vAlign w:val="center"/>
          </w:tcPr>
          <w:p>
            <w:pPr>
              <w:adjustRightInd w:val="0"/>
              <w:snapToGrid w:val="0"/>
              <w:jc w:val="center"/>
              <w:rPr>
                <w:rFonts w:ascii="宋体" w:hAnsi="宋体" w:cs="宋体"/>
                <w:szCs w:val="21"/>
              </w:rPr>
            </w:pPr>
            <w:r>
              <w:rPr>
                <w:rFonts w:hint="eastAsia" w:ascii="宋体" w:hAnsi="宋体" w:cs="宋体"/>
                <w:szCs w:val="21"/>
              </w:rPr>
              <w:t>21</w:t>
            </w:r>
          </w:p>
        </w:tc>
        <w:tc>
          <w:tcPr>
            <w:tcW w:w="4541" w:type="dxa"/>
            <w:vAlign w:val="center"/>
          </w:tcPr>
          <w:p>
            <w:pPr>
              <w:snapToGrid w:val="0"/>
              <w:jc w:val="left"/>
              <w:rPr>
                <w:rFonts w:ascii="宋体" w:hAnsi="宋体" w:cs="宋体"/>
                <w:szCs w:val="21"/>
              </w:rPr>
            </w:pPr>
            <w:r>
              <w:rPr>
                <w:rFonts w:hint="eastAsia" w:ascii="宋体" w:hAnsi="宋体" w:cs="宋体"/>
                <w:szCs w:val="21"/>
              </w:rPr>
              <w:t>每台起重机械应具有一个或多个可从操作控制站操作的起重机开关，用于紧急停止所有运动驱动装置，必要时用于切断其他设备的电源。</w:t>
            </w:r>
          </w:p>
        </w:tc>
        <w:tc>
          <w:tcPr>
            <w:tcW w:w="2281" w:type="dxa"/>
            <w:vAlign w:val="center"/>
          </w:tcPr>
          <w:p>
            <w:pPr>
              <w:snapToGrid w:val="0"/>
              <w:jc w:val="center"/>
              <w:rPr>
                <w:rFonts w:ascii="宋体" w:hAnsi="宋体" w:cs="宋体"/>
                <w:szCs w:val="21"/>
              </w:rPr>
            </w:pPr>
            <w:r>
              <w:rPr>
                <w:rFonts w:hint="eastAsia" w:ascii="宋体" w:hAnsi="宋体" w:cs="宋体"/>
                <w:szCs w:val="21"/>
              </w:rPr>
              <w:t>《机械电气安全机械电气设备第32部分：起重机械技术条件（2008版）》（GBT5226.32-2017）5.3.7.1</w:t>
            </w:r>
          </w:p>
        </w:tc>
        <w:tc>
          <w:tcPr>
            <w:tcW w:w="1994" w:type="dxa"/>
            <w:vAlign w:val="center"/>
          </w:tcPr>
          <w:p>
            <w:pPr>
              <w:snapToGrid w:val="0"/>
              <w:jc w:val="left"/>
              <w:rPr>
                <w:rFonts w:ascii="宋体" w:hAnsi="宋体" w:cs="宋体"/>
                <w:szCs w:val="21"/>
              </w:rPr>
            </w:pPr>
            <w:r>
              <w:rPr>
                <w:rFonts w:hint="eastAsia" w:ascii="宋体" w:hAnsi="宋体" w:cs="宋体"/>
                <w:szCs w:val="21"/>
              </w:rPr>
              <w:t>每台起重机械具有一个可从操作控制站操作的起重机开关，用于紧急停止所有运动驱动装置。</w:t>
            </w:r>
          </w:p>
        </w:tc>
        <w:tc>
          <w:tcPr>
            <w:tcW w:w="510" w:type="dxa"/>
            <w:vAlign w:val="center"/>
          </w:tcPr>
          <w:p>
            <w:pPr>
              <w:snapToGrid w:val="0"/>
              <w:jc w:val="center"/>
              <w:rPr>
                <w:rFonts w:ascii="宋体" w:hAnsi="宋体"/>
                <w:szCs w:val="21"/>
              </w:rPr>
            </w:pPr>
            <w:r>
              <w:rPr>
                <w:rFonts w:hint="eastAsia" w:ascii="宋体" w:hAnsi="宋体"/>
                <w:szCs w:val="21"/>
              </w:rPr>
              <w:t>符合</w:t>
            </w:r>
          </w:p>
        </w:tc>
      </w:tr>
    </w:tbl>
    <w:p>
      <w:pPr>
        <w:adjustRightInd w:val="0"/>
        <w:snapToGrid w:val="0"/>
        <w:spacing w:line="360" w:lineRule="auto"/>
        <w:jc w:val="center"/>
        <w:rPr>
          <w:rFonts w:ascii="宋体" w:hAnsi="宋体" w:cs="宋体"/>
          <w:snapToGrid w:val="0"/>
          <w:kern w:val="0"/>
          <w:sz w:val="11"/>
          <w:szCs w:val="11"/>
        </w:rPr>
      </w:pPr>
    </w:p>
    <w:p>
      <w:pPr>
        <w:pStyle w:val="50"/>
        <w:spacing w:line="360" w:lineRule="auto"/>
        <w:ind w:firstLine="560" w:firstLineChars="200"/>
        <w:rPr>
          <w:rFonts w:ascii="宋体" w:hAnsi="宋体" w:cs="宋体"/>
          <w:color w:val="auto"/>
          <w:kern w:val="0"/>
          <w:sz w:val="28"/>
          <w:szCs w:val="28"/>
        </w:rPr>
      </w:pPr>
      <w:r>
        <w:rPr>
          <w:rFonts w:hint="eastAsia" w:ascii="宋体" w:hAnsi="宋体" w:cs="宋体"/>
          <w:color w:val="auto"/>
          <w:kern w:val="0"/>
          <w:sz w:val="28"/>
          <w:szCs w:val="28"/>
        </w:rPr>
        <w:t>通过检查，本项目储气罐等压力容器安装有压力表和安全阀。压缩空气管道、压缩空气储气罐等特种设备已注册登记和定期检测检验，有检测检验报告，检测结果均为合格。</w:t>
      </w:r>
    </w:p>
    <w:p>
      <w:pPr>
        <w:pStyle w:val="5"/>
        <w:keepNext w:val="0"/>
        <w:keepLines w:val="0"/>
        <w:snapToGrid w:val="0"/>
        <w:spacing w:before="0" w:after="0" w:line="360" w:lineRule="auto"/>
        <w:rPr>
          <w:rFonts w:ascii="宋体" w:hAnsi="宋体" w:cs="宋体"/>
          <w:sz w:val="28"/>
          <w:szCs w:val="28"/>
        </w:rPr>
      </w:pPr>
      <w:bookmarkStart w:id="582" w:name="_Toc16976"/>
      <w:bookmarkStart w:id="583" w:name="_Toc31901"/>
      <w:r>
        <w:rPr>
          <w:rFonts w:hint="eastAsia" w:ascii="宋体" w:hAnsi="宋体" w:cs="宋体"/>
          <w:sz w:val="28"/>
          <w:szCs w:val="28"/>
        </w:rPr>
        <w:t>5.5.6</w:t>
      </w:r>
      <w:r>
        <w:rPr>
          <w:rFonts w:hint="eastAsia" w:ascii="宋体" w:hAnsi="宋体" w:cs="宋体"/>
          <w:sz w:val="28"/>
          <w:szCs w:val="28"/>
          <w:lang w:val="en-US" w:eastAsia="zh-CN"/>
        </w:rPr>
        <w:t xml:space="preserve"> </w:t>
      </w:r>
      <w:r>
        <w:rPr>
          <w:rFonts w:hint="eastAsia" w:ascii="宋体" w:hAnsi="宋体" w:cs="宋体"/>
          <w:sz w:val="28"/>
          <w:szCs w:val="28"/>
        </w:rPr>
        <w:t>单元小结</w:t>
      </w:r>
      <w:bookmarkEnd w:id="578"/>
      <w:bookmarkEnd w:id="582"/>
      <w:bookmarkEnd w:id="583"/>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综上所述，该项目公辅设施能满足该项目安全生产需求，符合相关法律法规及标准。结果如下：</w:t>
      </w:r>
    </w:p>
    <w:p>
      <w:pPr>
        <w:numPr>
          <w:ilvl w:val="0"/>
          <w:numId w:val="17"/>
        </w:numPr>
        <w:adjustRightInd w:val="0"/>
        <w:snapToGrid w:val="0"/>
        <w:spacing w:line="360" w:lineRule="auto"/>
        <w:ind w:firstLine="560" w:firstLineChars="200"/>
        <w:rPr>
          <w:snapToGrid w:val="0"/>
          <w:kern w:val="0"/>
          <w:sz w:val="28"/>
          <w:szCs w:val="28"/>
        </w:rPr>
      </w:pPr>
      <w:r>
        <w:rPr>
          <w:rFonts w:hint="eastAsia"/>
          <w:snapToGrid w:val="0"/>
          <w:kern w:val="0"/>
          <w:sz w:val="28"/>
          <w:szCs w:val="28"/>
        </w:rPr>
        <w:t>本项目供配电系统基本符合《低压配电设计规范》（GB50054-2011）、《供配电系统设计规范》（GB50052-2009）等标准规范的相关要求。</w:t>
      </w:r>
    </w:p>
    <w:p>
      <w:pPr>
        <w:numPr>
          <w:ilvl w:val="0"/>
          <w:numId w:val="17"/>
        </w:numPr>
        <w:adjustRightInd w:val="0"/>
        <w:snapToGrid w:val="0"/>
        <w:spacing w:line="360" w:lineRule="auto"/>
        <w:ind w:firstLine="560" w:firstLineChars="200"/>
        <w:rPr>
          <w:snapToGrid w:val="0"/>
          <w:kern w:val="0"/>
          <w:sz w:val="28"/>
          <w:szCs w:val="28"/>
        </w:rPr>
      </w:pPr>
      <w:r>
        <w:rPr>
          <w:rFonts w:hint="eastAsia"/>
          <w:snapToGrid w:val="0"/>
          <w:kern w:val="0"/>
          <w:sz w:val="28"/>
          <w:szCs w:val="28"/>
        </w:rPr>
        <w:t>该项目消防基本符合《中华人民共和国消防法》、《建筑设计防火规范（2018版）》（GB50016-2014）、《建筑灭火器配置设计规范》（GB50140-2005）等标准规范的相关要求。但也存在一些问题，为封装车间部分电控操作柜旁未配备二氧化碳灭火器。</w:t>
      </w:r>
    </w:p>
    <w:p>
      <w:pPr>
        <w:numPr>
          <w:ilvl w:val="0"/>
          <w:numId w:val="17"/>
        </w:numPr>
        <w:adjustRightInd w:val="0"/>
        <w:snapToGrid w:val="0"/>
        <w:spacing w:line="360" w:lineRule="auto"/>
        <w:ind w:firstLine="560" w:firstLineChars="200"/>
        <w:rPr>
          <w:snapToGrid w:val="0"/>
          <w:kern w:val="0"/>
          <w:sz w:val="28"/>
          <w:szCs w:val="28"/>
        </w:rPr>
      </w:pPr>
      <w:r>
        <w:rPr>
          <w:rFonts w:hint="eastAsia"/>
          <w:snapToGrid w:val="0"/>
          <w:kern w:val="0"/>
          <w:sz w:val="28"/>
          <w:szCs w:val="28"/>
        </w:rPr>
        <w:t>该项目安全色和安全标志满足《安全色和安全标志第3部分：安全标志用图形符号设计原则》（GB2893.3-2010）、《安全标志及其使用导则》（GB2894-2008）等标准规范的相关要求。</w:t>
      </w:r>
    </w:p>
    <w:p>
      <w:pPr>
        <w:numPr>
          <w:ilvl w:val="0"/>
          <w:numId w:val="17"/>
        </w:numPr>
        <w:adjustRightInd w:val="0"/>
        <w:snapToGrid w:val="0"/>
        <w:spacing w:line="360" w:lineRule="auto"/>
        <w:ind w:firstLine="560" w:firstLineChars="200"/>
        <w:rPr>
          <w:snapToGrid w:val="0"/>
          <w:kern w:val="0"/>
          <w:sz w:val="28"/>
          <w:szCs w:val="28"/>
        </w:rPr>
      </w:pPr>
      <w:r>
        <w:rPr>
          <w:rFonts w:hint="eastAsia"/>
          <w:snapToGrid w:val="0"/>
          <w:kern w:val="0"/>
          <w:sz w:val="28"/>
          <w:szCs w:val="28"/>
        </w:rPr>
        <w:t>本项目供气系统符合《压缩空气站设计规范》（GB50029-2014）的相关要求。</w:t>
      </w:r>
    </w:p>
    <w:p>
      <w:pPr>
        <w:numPr>
          <w:ilvl w:val="0"/>
          <w:numId w:val="17"/>
        </w:numPr>
        <w:adjustRightInd w:val="0"/>
        <w:snapToGrid w:val="0"/>
        <w:spacing w:line="360" w:lineRule="auto"/>
        <w:ind w:firstLine="560" w:firstLineChars="200"/>
        <w:rPr>
          <w:snapToGrid w:val="0"/>
          <w:color w:val="auto"/>
          <w:kern w:val="0"/>
          <w:sz w:val="28"/>
          <w:szCs w:val="28"/>
        </w:rPr>
      </w:pPr>
      <w:r>
        <w:rPr>
          <w:rFonts w:hint="eastAsia"/>
          <w:snapToGrid w:val="0"/>
          <w:color w:val="auto"/>
          <w:kern w:val="0"/>
          <w:sz w:val="28"/>
          <w:szCs w:val="28"/>
        </w:rPr>
        <w:t>该项目特种设备及强制检测设施满足相关标准规范。</w:t>
      </w:r>
    </w:p>
    <w:p>
      <w:pPr>
        <w:pStyle w:val="4"/>
        <w:keepNext w:val="0"/>
        <w:keepLines w:val="0"/>
        <w:snapToGrid w:val="0"/>
        <w:spacing w:before="0" w:after="0" w:line="360" w:lineRule="auto"/>
        <w:jc w:val="left"/>
        <w:rPr>
          <w:rFonts w:ascii="宋体" w:hAnsi="宋体" w:cs="宋体"/>
          <w:snapToGrid/>
          <w:kern w:val="2"/>
        </w:rPr>
      </w:pPr>
      <w:bookmarkStart w:id="584" w:name="_Toc416047367"/>
      <w:bookmarkStart w:id="585" w:name="_Toc27271"/>
      <w:bookmarkStart w:id="586" w:name="_Toc197068985"/>
      <w:bookmarkStart w:id="587" w:name="_Toc5587"/>
      <w:bookmarkStart w:id="588" w:name="_Toc6482"/>
      <w:r>
        <w:rPr>
          <w:rFonts w:hint="eastAsia" w:ascii="宋体" w:hAnsi="宋体" w:cs="宋体"/>
          <w:snapToGrid/>
          <w:kern w:val="2"/>
        </w:rPr>
        <w:t>5.6</w:t>
      </w:r>
      <w:r>
        <w:rPr>
          <w:rFonts w:hint="eastAsia" w:ascii="宋体" w:hAnsi="宋体" w:cs="宋体"/>
          <w:snapToGrid/>
          <w:kern w:val="2"/>
          <w:lang w:val="en-US" w:eastAsia="zh-CN"/>
        </w:rPr>
        <w:t xml:space="preserve"> </w:t>
      </w:r>
      <w:r>
        <w:rPr>
          <w:rFonts w:hint="eastAsia" w:ascii="宋体" w:hAnsi="宋体" w:cs="宋体"/>
          <w:snapToGrid/>
          <w:kern w:val="2"/>
        </w:rPr>
        <w:t>安全生产管理</w:t>
      </w:r>
      <w:bookmarkEnd w:id="584"/>
      <w:bookmarkEnd w:id="585"/>
      <w:bookmarkEnd w:id="586"/>
      <w:r>
        <w:rPr>
          <w:rFonts w:hint="eastAsia" w:ascii="宋体" w:hAnsi="宋体" w:cs="宋体"/>
          <w:snapToGrid/>
          <w:kern w:val="2"/>
        </w:rPr>
        <w:t>分析评价单元</w:t>
      </w:r>
      <w:bookmarkEnd w:id="587"/>
      <w:bookmarkEnd w:id="588"/>
    </w:p>
    <w:p>
      <w:pPr>
        <w:pStyle w:val="5"/>
        <w:keepNext w:val="0"/>
        <w:keepLines w:val="0"/>
        <w:snapToGrid w:val="0"/>
        <w:spacing w:before="0" w:after="0" w:line="360" w:lineRule="auto"/>
        <w:rPr>
          <w:rFonts w:ascii="宋体" w:hAnsi="宋体" w:cs="宋体"/>
          <w:sz w:val="28"/>
          <w:szCs w:val="28"/>
        </w:rPr>
      </w:pPr>
      <w:bookmarkStart w:id="589" w:name="_Toc135711943"/>
      <w:bookmarkStart w:id="590" w:name="_Toc26932"/>
      <w:bookmarkStart w:id="591" w:name="_Toc197068986"/>
      <w:bookmarkStart w:id="592" w:name="_Toc416047368"/>
      <w:bookmarkStart w:id="593" w:name="_Toc20859"/>
      <w:bookmarkStart w:id="594" w:name="_Toc16407"/>
      <w:bookmarkStart w:id="595" w:name="_Toc12285"/>
      <w:bookmarkStart w:id="596" w:name="_Toc416047369"/>
      <w:r>
        <w:rPr>
          <w:rFonts w:hint="eastAsia" w:ascii="宋体" w:hAnsi="宋体" w:cs="宋体"/>
          <w:sz w:val="28"/>
          <w:szCs w:val="28"/>
        </w:rPr>
        <w:t>5.6.1</w:t>
      </w:r>
      <w:r>
        <w:rPr>
          <w:rFonts w:hint="eastAsia" w:ascii="宋体" w:hAnsi="宋体" w:cs="宋体"/>
          <w:sz w:val="28"/>
          <w:szCs w:val="28"/>
          <w:lang w:val="en-US" w:eastAsia="zh-CN"/>
        </w:rPr>
        <w:t xml:space="preserve"> </w:t>
      </w:r>
      <w:r>
        <w:rPr>
          <w:rFonts w:hint="eastAsia" w:ascii="宋体" w:hAnsi="宋体" w:cs="宋体"/>
          <w:sz w:val="28"/>
          <w:szCs w:val="28"/>
        </w:rPr>
        <w:t>安全</w:t>
      </w:r>
      <w:bookmarkEnd w:id="589"/>
      <w:bookmarkEnd w:id="590"/>
      <w:bookmarkEnd w:id="591"/>
      <w:bookmarkEnd w:id="592"/>
      <w:r>
        <w:rPr>
          <w:rFonts w:hint="eastAsia" w:ascii="宋体" w:hAnsi="宋体" w:cs="宋体"/>
          <w:sz w:val="28"/>
          <w:szCs w:val="28"/>
        </w:rPr>
        <w:t>检查表</w:t>
      </w:r>
      <w:bookmarkEnd w:id="593"/>
      <w:bookmarkEnd w:id="594"/>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本节主要依据</w:t>
      </w:r>
      <w:r>
        <w:rPr>
          <w:rFonts w:hint="eastAsia"/>
          <w:snapToGrid w:val="0"/>
          <w:kern w:val="0"/>
          <w:sz w:val="28"/>
          <w:szCs w:val="28"/>
          <w:lang w:val="zh-CN"/>
        </w:rPr>
        <w:t>《中华人民共和国安全生产法》、《生产安全事故应急预案管理办法》、</w:t>
      </w:r>
      <w:r>
        <w:rPr>
          <w:rFonts w:hint="eastAsia"/>
          <w:snapToGrid w:val="0"/>
          <w:kern w:val="0"/>
          <w:sz w:val="28"/>
          <w:szCs w:val="28"/>
        </w:rPr>
        <w:t>《工贸企业有限空间作业安全管理与监督暂行规定》、</w:t>
      </w:r>
      <w:r>
        <w:rPr>
          <w:rFonts w:hint="eastAsia"/>
          <w:snapToGrid w:val="0"/>
          <w:kern w:val="0"/>
          <w:sz w:val="28"/>
          <w:szCs w:val="28"/>
          <w:lang w:val="zh-CN"/>
        </w:rPr>
        <w:t>《云南省安全生产条例》</w:t>
      </w:r>
      <w:r>
        <w:rPr>
          <w:rFonts w:hint="eastAsia"/>
          <w:snapToGrid w:val="0"/>
          <w:kern w:val="0"/>
          <w:sz w:val="28"/>
          <w:szCs w:val="28"/>
        </w:rPr>
        <w:t>等法律、法规、标准和规范的要求，用安全检查表，对本项目</w:t>
      </w:r>
      <w:r>
        <w:rPr>
          <w:rFonts w:hint="eastAsia"/>
          <w:snapToGrid w:val="0"/>
          <w:kern w:val="0"/>
          <w:sz w:val="28"/>
          <w:szCs w:val="28"/>
          <w:lang w:val="zh-CN"/>
        </w:rPr>
        <w:t>安全生产管理</w:t>
      </w:r>
      <w:r>
        <w:rPr>
          <w:rFonts w:hint="eastAsia"/>
          <w:snapToGrid w:val="0"/>
          <w:kern w:val="0"/>
          <w:sz w:val="28"/>
          <w:szCs w:val="28"/>
        </w:rPr>
        <w:t>进行分析评价，检查结果见表。</w:t>
      </w:r>
    </w:p>
    <w:bookmarkEnd w:id="595"/>
    <w:bookmarkEnd w:id="596"/>
    <w:p>
      <w:pPr>
        <w:spacing w:line="360" w:lineRule="auto"/>
        <w:jc w:val="center"/>
        <w:rPr>
          <w:rFonts w:ascii="宋体" w:hAnsi="宋体"/>
          <w:sz w:val="24"/>
          <w:lang w:val="zh-CN"/>
        </w:rPr>
      </w:pPr>
      <w:r>
        <w:rPr>
          <w:rFonts w:hint="eastAsia" w:ascii="宋体" w:hAnsi="宋体"/>
          <w:sz w:val="24"/>
        </w:rPr>
        <w:t xml:space="preserve">表5.6 </w:t>
      </w:r>
      <w:r>
        <w:rPr>
          <w:rFonts w:hint="eastAsia" w:ascii="宋体" w:hAnsi="宋体"/>
          <w:sz w:val="24"/>
          <w:lang w:val="zh-CN"/>
        </w:rPr>
        <w:t>安全生产管理安全检查表</w:t>
      </w:r>
    </w:p>
    <w:tbl>
      <w:tblPr>
        <w:tblStyle w:val="52"/>
        <w:tblW w:w="95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44"/>
        <w:gridCol w:w="4283"/>
        <w:gridCol w:w="2155"/>
        <w:gridCol w:w="2250"/>
        <w:gridCol w:w="5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b/>
                <w:szCs w:val="21"/>
              </w:rPr>
            </w:pPr>
            <w:r>
              <w:rPr>
                <w:rFonts w:hint="eastAsia" w:ascii="宋体" w:hAnsi="宋体" w:cs="宋体"/>
                <w:b/>
                <w:szCs w:val="21"/>
              </w:rPr>
              <w:t>序号</w:t>
            </w: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b/>
                <w:szCs w:val="21"/>
              </w:rPr>
            </w:pPr>
            <w:r>
              <w:rPr>
                <w:rFonts w:hint="eastAsia" w:ascii="宋体" w:hAnsi="宋体" w:cs="宋体"/>
                <w:b/>
                <w:szCs w:val="21"/>
              </w:rPr>
              <w:t>检  查  内  容</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b/>
                <w:szCs w:val="21"/>
              </w:rPr>
            </w:pPr>
            <w:r>
              <w:rPr>
                <w:rFonts w:hint="eastAsia" w:ascii="宋体" w:hAnsi="宋体" w:cs="宋体"/>
                <w:b/>
                <w:szCs w:val="21"/>
              </w:rPr>
              <w:t>依据标准</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b/>
                <w:szCs w:val="21"/>
              </w:rPr>
            </w:pPr>
            <w:r>
              <w:rPr>
                <w:rFonts w:hint="eastAsia" w:ascii="宋体" w:hAnsi="宋体" w:cs="宋体"/>
                <w:b/>
                <w:szCs w:val="21"/>
              </w:rPr>
              <w:t>检查记录</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b/>
                <w:szCs w:val="21"/>
              </w:rPr>
            </w:pPr>
            <w:r>
              <w:rPr>
                <w:rFonts w:hint="eastAsia" w:ascii="宋体" w:hAnsi="宋体" w:cs="宋体"/>
                <w:b/>
                <w:szCs w:val="21"/>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50"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《中华人民共和国安全生产法》第四条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该企业制定了相应安全生产责任制度，安全生产条件较为完善。</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生产经营单位的主要负责人是本单位安全生产第一责任人，对本单位的安全生产工作全面负责。其他负责人对职责范围内的安全生产工作负责。</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《中华人民共和国安全生产法》第五条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主要负责人对本项目的安全生产工作全面负责。</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《中华人民共和国安全生产法》第二十一条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企业建立了安全生产责任制，同时制定了本项目安全生产规章制度和本项目操作规程，成立了安全生产委员会，并由安全管理部对本项目的安全进行具体管理。</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的全员安全生产责任制应当明确各岗位的责任人员、责任范围和考核标准等内容。生产经营单位应当建立相应的机制，加强对全员安全生产责任制落实情况的监督考核，保证全员安全生产责任制的落实。</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《中华人民共和国安全生产法》第二十二条</w:t>
            </w:r>
          </w:p>
        </w:tc>
        <w:tc>
          <w:tcPr>
            <w:tcW w:w="225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企业制定有安全岗位职责，制定有《企业安全管理制度》。</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《中华人民共和国安全生产法》第二十四条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企业成立了安全生产委员会及环境安全管理部，配备了专兼职安全员。</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的安全生产管理机构以及安全生产管理人员履行下列职责:（一）组织或者参与拟订本单位安全生产规章制度、操作规程和生产安全事故应急救援预案；（二）组织或者参与本单位安全生产教育和培训，如实记录安全生产教育和培训情况；（三）组织开展危险源辨识和评估，督促落实本单位重大危险源的安全管理措施；（四）组织或者参与本单位应急救援演练；（五）检查本单位的安全生产状况，及时排查生产安全事故隐患，提出改进安全生产管理的建议；（六）制止和纠正违章指挥、强令冒险作业、违反操作规程的行为；（七）督促落实本单位安全生产整改措施。生产经营单位可以设置专职安全生产分管负责人，协助本单位主要负责人履行安全生产管理职责。</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《中华人民共和国安全生产法》第二十五条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企业建立了安全生产责任制。</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3"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生产经营单位的主要负责人和安全生产管理人员必须具备与本单位所从事的生产经营活动相应的安全生产知识和管理能力。</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《中华人民共和国安全生产法》第二十七条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企业主要负责人和安全管理人员取得了安全管理资格证书。</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79"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《中华人民共和国安全生产法》第二十八条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企业制定了《职业安全健康培训制度》，并对从业人员进行了安全教育培训。</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生产经营单位的特种作业人员必须按照国家有关规定经专门的安全作业培训，取得相应资格，方可上岗作业。</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《中华人民共和国安全生产法》第三十条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特种作业人员进行培训，取得了特种作业人员资格证书。</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4"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ascii="Helvetica" w:hAnsi="Helvetica"/>
                <w:color w:val="333333"/>
                <w:szCs w:val="21"/>
                <w:shd w:val="clear" w:color="auto" w:fill="FFFFFF"/>
              </w:rPr>
              <w:t>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《特种设备安全监察条例》第三十八条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压力容器、行车、叉车等特种作业人员及相关管理人员均取得特种作业人员证书，持证上岗。</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生产经营单位必须为从业人员提供符合国家标准或者行业标准的劳动防护用品，并监督、教育从业人员按照使用规则佩戴、使用。</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《中华人民共和国安全生产法》第四十五条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企业为从业人员配备了劳动防护用品。</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3"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ind w:firstLine="420" w:firstLineChars="200"/>
              <w:rPr>
                <w:rFonts w:ascii="宋体" w:hAnsi="宋体" w:cs="宋体"/>
                <w:szCs w:val="21"/>
              </w:rPr>
            </w:pPr>
            <w:r>
              <w:rPr>
                <w:rFonts w:hint="eastAsia" w:ascii="宋体" w:hAnsi="宋体" w:cs="宋体"/>
                <w:szCs w:val="21"/>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pPr>
              <w:autoSpaceDE w:val="0"/>
              <w:autoSpaceDN w:val="0"/>
              <w:ind w:firstLine="420" w:firstLineChars="200"/>
              <w:rPr>
                <w:rFonts w:ascii="宋体" w:hAnsi="宋体" w:cs="宋体"/>
                <w:szCs w:val="21"/>
              </w:rPr>
            </w:pPr>
            <w:r>
              <w:rPr>
                <w:rFonts w:hint="eastAsia" w:ascii="宋体" w:hAnsi="宋体" w:cs="宋体"/>
                <w:szCs w:val="21"/>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《中华人民共和国安全生产法》第四十六条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企业制定了安全检查制度，并有相应的安全检查记录。</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8"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生产经营单位应当安排用于配备劳动防护用品、进行安全生产培训的经费。</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《中华人民共和国安全生产法》第四十七条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企业设有安全生产经费用于劳保防护用品的发放以及生产培训的支出。</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6"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tcPr>
          <w:p>
            <w:pPr>
              <w:autoSpaceDE w:val="0"/>
              <w:autoSpaceDN w:val="0"/>
              <w:rPr>
                <w:rFonts w:ascii="宋体" w:hAnsi="宋体" w:cs="宋体"/>
                <w:szCs w:val="21"/>
              </w:rPr>
            </w:pPr>
            <w:r>
              <w:rPr>
                <w:rFonts w:hint="eastAsia" w:ascii="宋体" w:hAnsi="宋体" w:cs="宋体"/>
                <w:szCs w:val="21"/>
              </w:rPr>
              <w:t>生产经营单位必须依法参加工伤保险，为从业人员缴纳保险费。</w:t>
            </w:r>
          </w:p>
          <w:p>
            <w:pPr>
              <w:autoSpaceDE w:val="0"/>
              <w:autoSpaceDN w:val="0"/>
              <w:rPr>
                <w:rFonts w:ascii="宋体" w:hAnsi="宋体" w:cs="宋体"/>
                <w:szCs w:val="21"/>
              </w:rPr>
            </w:pPr>
            <w:r>
              <w:rPr>
                <w:rFonts w:hint="eastAsia" w:ascii="宋体" w:hAnsi="宋体" w:cs="宋体"/>
                <w:szCs w:val="21"/>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《中华人民共和国安全生产法》第五十一条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企业为从业人员缴纳了工伤保险费。</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生产经营单位应当制定本单位生产安全事故应急救援预案，与所在地县级以上地方人民政府组织制定的生产安全事故应急救援预案相衔接，并定期组织演练。</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《中华人民共和国安全生产法》第八十一条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企业制定有《火灾事故专项应急预案》，并定期组织演练。</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3"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tcPr>
          <w:p>
            <w:pPr>
              <w:autoSpaceDE w:val="0"/>
              <w:autoSpaceDN w:val="0"/>
              <w:ind w:firstLine="420" w:firstLineChars="200"/>
              <w:rPr>
                <w:rFonts w:ascii="宋体" w:hAnsi="宋体" w:cs="宋体"/>
                <w:szCs w:val="21"/>
              </w:rPr>
            </w:pPr>
            <w:r>
              <w:rPr>
                <w:rFonts w:hint="eastAsia" w:ascii="宋体" w:hAnsi="宋体" w:cs="宋体"/>
                <w:szCs w:val="21"/>
              </w:rPr>
              <w:t>危险物品的生产、经营、储存单位以及矿山、金属冶炼、城市轨道交通运营、建筑施工单位应当建立应急救援组织；生产经营规模较小的，可以不建立应急救援组织，但应当指定兼职的应急救援人员。</w:t>
            </w:r>
          </w:p>
          <w:p>
            <w:pPr>
              <w:autoSpaceDE w:val="0"/>
              <w:autoSpaceDN w:val="0"/>
              <w:ind w:firstLine="420" w:firstLineChars="200"/>
              <w:rPr>
                <w:rFonts w:ascii="宋体" w:hAnsi="宋体" w:cs="宋体"/>
                <w:szCs w:val="21"/>
              </w:rPr>
            </w:pPr>
            <w:r>
              <w:rPr>
                <w:rFonts w:hint="eastAsia" w:ascii="宋体" w:hAnsi="宋体" w:cs="宋体"/>
                <w:szCs w:val="21"/>
              </w:rPr>
              <w:t>危险物品的生产、经营、储存、运输单位以及矿山、金属冶炼、城市轨道交通运营、建筑施工单位应当配备必要的应急救援器材、设备和物资，并进行经常性维护、保养，保证正常运转。</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《中华人民共和国安全生产法》第八十二条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企业设有应急救援组织。并配备了相应的救援器材、设备，并进行经常性的维护、保养。</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应当按照规定推进安全生产标准化建设并持续规范运行，建立健全并实施安全生产规章制度和操作规程，落实安全生产责任制，明确各岗位的责任人员、责任范围和考核标准等内容，并严格监督和考核。</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《云南省安全生产条例》第十二条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企业建立有安全生产责任制。</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应当按照有关规定对从业人员、被派遣劳动者和实习人员，以及离岗后重新上岗、换岗和采用新工艺、新技术、新材料或者使用新设备人员进行安全生产教育和培训。未经安全生产教育和培训合格的，不得安排上岗作业。</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《云南省安全生产条例》第二十二条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从业人员经培训合格上岗。</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11"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应当根据有关法律、法规和《生产安全事故应急预案管理办法》（国家安全生产监督管理总局令第88号），结合本单位的危险源状况、危险性分析情况和可能发生的事故特点，制定相应的应急预案。生产经营单位的应急预案按照针对情况的不同，分为综合应急预案、专项应急预案和现场处置方案。</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《生产安全事故应急预案管理办法》第六条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企业编制了《火灾事故专项应急预案》，成立了应急救援组织，并配备了相应的应急救援物资。</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编制应急预案前，编制单位应当进行事故风险辨识评估和应急资源调查。</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《生产安全事故应急预案管理办法》第十条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企业编制应急预案前，编制单位进行事故风险评估和应急资源调查。</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1"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生产经营单位应当根据有关法律、法规、规章和相关标准，结合本单位组织管理体系、生产规模和可能发生的事故特点，与相关预案保持衔接，确立本单位的应急预案体系，编制相应的应急预案，并体现自救互救和先期处置等特点。</w:t>
            </w:r>
          </w:p>
          <w:p>
            <w:pPr>
              <w:autoSpaceDE w:val="0"/>
              <w:autoSpaceDN w:val="0"/>
              <w:rPr>
                <w:rFonts w:ascii="宋体" w:hAnsi="宋体" w:cs="宋体"/>
                <w:szCs w:val="21"/>
              </w:rPr>
            </w:pPr>
            <w:r>
              <w:rPr>
                <w:rFonts w:hint="eastAsia" w:ascii="宋体" w:hAnsi="宋体" w:cs="宋体"/>
                <w:szCs w:val="21"/>
              </w:rPr>
              <w:t>生产经营单位风险种类多、可能发生多种类型事故的，应当组织编制综合应急预案。综合应急预案应当规定应急组织机构及其职责、应急预案体系、事故风险描述、预警及信息报告、应急响应、保障措施、应急预案管理等内容。对于某一种或者多种类型的事故风险，生产经营单位可以编制相应的专项应急预案，或将专项应急预案并入综合应急预案。专项应急预案应当规定应急指挥机构与职责、处置程序和措施等内容。对于危险性较大的场所、装置或者设施，生产经营单位应当编制现场处置方案。现场处置方案应当规定应急工作职责、应急处置措施和注意事项等内容。</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《生产安全事故应急预案管理办法》第十二条、第十三条、第十四条、第十五条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组织编制综合应急预案和专项应急预案、现场处置方案。</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ascii="宋体" w:hAnsi="宋体" w:cs="宋体"/>
                <w:szCs w:val="21"/>
              </w:rPr>
              <w:t>工贸企业有限空间作业还应当符合下列要求：（一）保持有限空间出入口畅通；（二）设置明显的安全警示标志和警示说明；（三）作业前清点作业人员和工器具；（四）作业人员与外部有可靠的通讯联络；（五）监护人员不得离开作业现场，并与作业人员保持联系；（六）存在交叉作业时，采取避免互相伤害的措施。</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《工贸企业有限空间作业安全管理与监督暂行规定》</w:t>
            </w:r>
            <w:r>
              <w:rPr>
                <w:rFonts w:ascii="宋体" w:hAnsi="宋体" w:cs="宋体"/>
                <w:szCs w:val="21"/>
              </w:rPr>
              <w:t>第十九条</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本项目的有限空间作业场所为切削液集中处理设备，其</w:t>
            </w:r>
            <w:r>
              <w:rPr>
                <w:rFonts w:ascii="宋体" w:hAnsi="宋体" w:cs="宋体"/>
                <w:szCs w:val="21"/>
              </w:rPr>
              <w:t>出入口畅通</w:t>
            </w:r>
            <w:r>
              <w:rPr>
                <w:rFonts w:hint="eastAsia" w:ascii="宋体" w:hAnsi="宋体" w:cs="宋体"/>
                <w:szCs w:val="21"/>
              </w:rPr>
              <w:t>，</w:t>
            </w:r>
            <w:r>
              <w:rPr>
                <w:rFonts w:ascii="宋体" w:hAnsi="宋体" w:cs="宋体"/>
                <w:szCs w:val="21"/>
              </w:rPr>
              <w:t>设置明显的安全警示标志。</w:t>
            </w:r>
            <w:r>
              <w:rPr>
                <w:rFonts w:hint="eastAsia" w:ascii="宋体" w:hAnsi="宋体"/>
                <w:color w:val="000000"/>
                <w:szCs w:val="21"/>
              </w:rPr>
              <w:t>消防水池、污水处理池、化粪池</w:t>
            </w:r>
            <w:r>
              <w:rPr>
                <w:rFonts w:ascii="宋体" w:hAnsi="宋体" w:cs="宋体"/>
                <w:szCs w:val="21"/>
              </w:rPr>
              <w:t>设置明显的安全警示标志。</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储存气瓶的危险化学品中间仓库，其作业和安全管理理应按照GB/T34525、TSG R0006规定执行。</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《危险化学品中间仓库安全管理规范》（DB4403/T80-2020）7.6</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储存气瓶的危险化学品中间仓库，其作业和安全管理按照GB/T34525、TSG R0006规定执行。</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装卸、搬运危险化学品应按有关规定进行，做到轻装、轻卸。严禁拌、碰、撞、击、拖拉、倾倒和滚动。</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《危险化学品中间仓库安全管理规范》（DB4403/T80-2020）8.2</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装卸、搬运危险化学品按有关规定进行，做到轻装、轻卸。</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危险化学品中间仓库内不应进行分装、改装、开箱、开桶、验收等，以上活动应在中间仓库外进行。</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《危险化学品中间仓库安全管理规范》（DB4403/T80-2020）8.3</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危险化学品中间仓库内未进行分装、改装、开箱、开桶、验收等活动。</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使用危险化学品企业应当要求危险化学品生产企业提供与其生产的危险化学品相符的化学品安全技术说明书，并在危险化学品（包括外包装件）上粘贴或者栓挂与包装内危险化学品相符的化学品安全标签。化学品安全技术说明书和化学品安全标签所载明的内容应当分别符合GB/T16483、GB/T17519和GB 15258的要求，化学品安全技术说明书应上墙或悬挂。</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《危险化学品中间仓库安全管理规范》（DB4403/T80-2020）9.2.2</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化学品安全技术说明书和化学品安全标签所载明的内容分别符合GB/T16483、GB/T17519和GB 15258的要求。</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危险化学品中间仓库管理人员应具备危险化学品安全使用知识和危险化学品事故应急处置能力。</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《危险化学品中间仓库安全管理规范》（DB4403/T80-2020）9.4.1</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管理人员具备危险化学品安全使用知识和危险化学品事故应急处置能力。</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应采用理论和实操方式对危险化学品中间仓库管理人员进行安全培训，经考试合格后才能上岗，对有资格要求的岗位，应当依法配备取得相应资格的人员。</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《危险化学品中间仓库安全管理规范》（DB4403/T80-2020）9.4.2</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color w:val="000000" w:themeColor="text1"/>
                <w:szCs w:val="21"/>
                <w14:textFill>
                  <w14:solidFill>
                    <w14:schemeClr w14:val="tx1"/>
                  </w14:solidFill>
                </w14:textFill>
              </w:rPr>
              <w:t>企业定期对危险化学品中间仓库管理人员进行安全培训，考试合格后才能上岗。</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企业应按照</w:t>
            </w:r>
            <w:r>
              <w:rPr>
                <w:rFonts w:hint="eastAsia" w:ascii="宋体" w:hAnsi="宋体" w:cs="宋体"/>
                <w:szCs w:val="21"/>
                <w:lang w:val="zh-CN"/>
              </w:rPr>
              <w:t>“分</w:t>
            </w:r>
            <w:r>
              <w:rPr>
                <w:rFonts w:hint="eastAsia" w:ascii="宋体" w:hAnsi="宋体" w:cs="宋体"/>
                <w:szCs w:val="21"/>
              </w:rPr>
              <w:t>级管理、分线负责</w:t>
            </w:r>
            <w:r>
              <w:rPr>
                <w:rFonts w:hint="eastAsia" w:ascii="宋体" w:hAnsi="宋体" w:cs="宋体"/>
                <w:szCs w:val="21"/>
                <w:lang w:val="zh-CN"/>
              </w:rPr>
              <w:t>”的原</w:t>
            </w:r>
            <w:r>
              <w:rPr>
                <w:rFonts w:hint="eastAsia" w:ascii="宋体" w:hAnsi="宋体" w:cs="宋体"/>
                <w:szCs w:val="21"/>
              </w:rPr>
              <w:t>则建立、健全各职能部门、生产单位和所有岗位从业人 员的安全生产职责，安全生产职责的描述应具体、界定清晰并能考核。</w:t>
            </w:r>
          </w:p>
        </w:tc>
        <w:tc>
          <w:tcPr>
            <w:tcW w:w="2155" w:type="dxa"/>
            <w:tcBorders>
              <w:top w:val="single" w:color="auto" w:sz="4" w:space="0"/>
              <w:left w:val="single" w:color="auto" w:sz="4" w:space="0"/>
              <w:bottom w:val="single" w:color="auto" w:sz="4" w:space="0"/>
              <w:right w:val="single" w:color="auto" w:sz="4" w:space="0"/>
            </w:tcBorders>
            <w:noWrap/>
            <w:vAlign w:val="center"/>
          </w:tcPr>
          <w:p>
            <w:pPr>
              <w:pStyle w:val="158"/>
              <w:snapToGrid w:val="0"/>
              <w:spacing w:after="0"/>
              <w:ind w:right="181" w:firstLine="0"/>
              <w:jc w:val="center"/>
              <w:rPr>
                <w:rFonts w:ascii="宋体" w:hAnsi="宋体" w:cs="宋体"/>
                <w:sz w:val="21"/>
                <w:szCs w:val="21"/>
              </w:rPr>
            </w:pPr>
            <w:bookmarkStart w:id="597" w:name="bookmark9"/>
            <w:bookmarkStart w:id="598" w:name="bookmark11"/>
            <w:bookmarkStart w:id="599" w:name="bookmark10"/>
            <w:r>
              <w:rPr>
                <w:rFonts w:hint="eastAsia" w:ascii="宋体" w:hAnsi="宋体" w:cs="宋体"/>
                <w:sz w:val="21"/>
                <w:szCs w:val="21"/>
              </w:rPr>
              <w:t>《机械制造企业安全生产标准化规范</w:t>
            </w:r>
            <w:bookmarkEnd w:id="597"/>
            <w:bookmarkEnd w:id="598"/>
            <w:bookmarkEnd w:id="599"/>
            <w:r>
              <w:rPr>
                <w:rFonts w:hint="eastAsia" w:ascii="宋体" w:hAnsi="宋体" w:cs="宋体"/>
                <w:sz w:val="21"/>
                <w:szCs w:val="21"/>
              </w:rPr>
              <w:t>》（AQ/T 7009—2013）</w:t>
            </w:r>
          </w:p>
          <w:p>
            <w:pPr>
              <w:autoSpaceDE w:val="0"/>
              <w:autoSpaceDN w:val="0"/>
              <w:jc w:val="center"/>
              <w:rPr>
                <w:rFonts w:ascii="宋体" w:hAnsi="宋体" w:cs="宋体"/>
                <w:szCs w:val="21"/>
              </w:rPr>
            </w:pPr>
            <w:r>
              <w:rPr>
                <w:rFonts w:hint="eastAsia" w:ascii="宋体" w:hAnsi="宋体" w:cs="宋体"/>
                <w:szCs w:val="21"/>
              </w:rPr>
              <w:t>4.1.3.2</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ascii="宋体" w:hAnsi="宋体" w:cs="宋体"/>
                <w:szCs w:val="21"/>
              </w:rPr>
              <w:t>企业按照</w:t>
            </w:r>
            <w:r>
              <w:rPr>
                <w:rFonts w:hint="eastAsia" w:ascii="宋体" w:hAnsi="宋体" w:cs="宋体"/>
                <w:szCs w:val="21"/>
                <w:lang w:val="zh-CN"/>
              </w:rPr>
              <w:t>“分</w:t>
            </w:r>
            <w:r>
              <w:rPr>
                <w:rFonts w:hint="eastAsia" w:ascii="宋体" w:hAnsi="宋体" w:cs="宋体"/>
                <w:szCs w:val="21"/>
              </w:rPr>
              <w:t>级管理、分线负责</w:t>
            </w:r>
            <w:r>
              <w:rPr>
                <w:rFonts w:hint="eastAsia" w:ascii="宋体" w:hAnsi="宋体" w:cs="宋体"/>
                <w:szCs w:val="21"/>
                <w:lang w:val="zh-CN"/>
              </w:rPr>
              <w:t>”的原</w:t>
            </w:r>
            <w:r>
              <w:rPr>
                <w:rFonts w:hint="eastAsia" w:ascii="宋体" w:hAnsi="宋体" w:cs="宋体"/>
                <w:szCs w:val="21"/>
              </w:rPr>
              <w:t>则建立、健全各职能部门、生产单位和所有岗位从业人 员的安全生产职责，安全生产职责的描述应具体、界定清晰并能考核。</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color w:val="000000"/>
              </w:rPr>
              <w:t>企业应釆取措施，严格考核，确保各部门安全负责人及所有从业人员熟悉并认真履行本部门、 本岗位安全生产职责。</w:t>
            </w:r>
          </w:p>
        </w:tc>
        <w:tc>
          <w:tcPr>
            <w:tcW w:w="2155" w:type="dxa"/>
            <w:tcBorders>
              <w:top w:val="single" w:color="auto" w:sz="4" w:space="0"/>
              <w:left w:val="single" w:color="auto" w:sz="4" w:space="0"/>
              <w:bottom w:val="single" w:color="auto" w:sz="4" w:space="0"/>
              <w:right w:val="single" w:color="auto" w:sz="4" w:space="0"/>
            </w:tcBorders>
            <w:noWrap/>
            <w:vAlign w:val="center"/>
          </w:tcPr>
          <w:p>
            <w:pPr>
              <w:pStyle w:val="158"/>
              <w:snapToGrid w:val="0"/>
              <w:spacing w:after="0"/>
              <w:ind w:right="181" w:firstLine="0"/>
              <w:jc w:val="center"/>
              <w:rPr>
                <w:rFonts w:ascii="宋体" w:hAnsi="宋体" w:cs="宋体"/>
                <w:sz w:val="21"/>
                <w:szCs w:val="21"/>
              </w:rPr>
            </w:pPr>
            <w:r>
              <w:rPr>
                <w:rFonts w:hint="eastAsia" w:ascii="宋体" w:hAnsi="宋体" w:cs="宋体"/>
                <w:sz w:val="21"/>
                <w:szCs w:val="21"/>
              </w:rPr>
              <w:t>《机械制造企业安全生产标准化规范》（AQ/T 7009—2013）</w:t>
            </w:r>
          </w:p>
          <w:p>
            <w:pPr>
              <w:autoSpaceDE w:val="0"/>
              <w:autoSpaceDN w:val="0"/>
              <w:jc w:val="center"/>
              <w:rPr>
                <w:rFonts w:ascii="宋体" w:hAnsi="宋体" w:cs="宋体"/>
                <w:szCs w:val="21"/>
              </w:rPr>
            </w:pPr>
            <w:r>
              <w:rPr>
                <w:rFonts w:hint="eastAsia" w:ascii="宋体" w:hAnsi="宋体" w:cs="宋体"/>
                <w:szCs w:val="21"/>
              </w:rPr>
              <w:t>4.1.3.3</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cs="宋体"/>
                <w:szCs w:val="21"/>
              </w:rPr>
            </w:pPr>
            <w:r>
              <w:rPr>
                <w:rFonts w:hint="eastAsia"/>
                <w:color w:val="000000"/>
              </w:rPr>
              <w:t>企业</w:t>
            </w:r>
            <w:r>
              <w:rPr>
                <w:color w:val="000000"/>
              </w:rPr>
              <w:t>严格考核，确保各部门安全负责人及所有从业人员熟悉并认真履行本部门、 本岗位安全生产职责。</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cs="宋体"/>
                <w:szCs w:val="21"/>
              </w:rPr>
            </w:pPr>
            <w:r>
              <w:rPr>
                <w:rFonts w:hint="eastAsia" w:ascii="宋体" w:hAnsi="宋体" w:cs="宋体"/>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color w:val="0000FF"/>
              </w:rPr>
            </w:pPr>
            <w:r>
              <w:rPr>
                <w:rFonts w:hint="eastAsia"/>
                <w:color w:val="0000FF"/>
              </w:rPr>
              <w:t>企业应通过危险源辨识及其风险评价，确定劳动防护用品的需求计划和发放标准，发放标准应满足岗位风险控制要求和法规、标准要求。</w:t>
            </w:r>
            <w:r>
              <w:rPr>
                <w:rFonts w:hint="eastAsia"/>
                <w:color w:val="0000FF"/>
              </w:rPr>
              <w:tab/>
            </w:r>
            <w:r>
              <w:rPr>
                <w:rFonts w:hint="eastAsia"/>
                <w:color w:val="0000FF"/>
              </w:rPr>
              <w:t xml:space="preserve"> </w:t>
            </w:r>
            <w:r>
              <w:rPr>
                <w:rFonts w:hint="eastAsia"/>
                <w:color w:val="0000FF"/>
              </w:rPr>
              <w:tab/>
            </w:r>
            <w:r>
              <w:rPr>
                <w:rFonts w:hint="eastAsia"/>
                <w:color w:val="0000FF"/>
              </w:rPr>
              <w:t xml:space="preserve"> </w:t>
            </w:r>
            <w:r>
              <w:rPr>
                <w:rFonts w:hint="eastAsia"/>
                <w:color w:val="0000FF"/>
              </w:rPr>
              <w:tab/>
            </w:r>
          </w:p>
        </w:tc>
        <w:tc>
          <w:tcPr>
            <w:tcW w:w="2155" w:type="dxa"/>
            <w:tcBorders>
              <w:top w:val="single" w:color="auto" w:sz="4" w:space="0"/>
              <w:left w:val="single" w:color="auto" w:sz="4" w:space="0"/>
              <w:bottom w:val="single" w:color="auto" w:sz="4" w:space="0"/>
              <w:right w:val="single" w:color="auto" w:sz="4" w:space="0"/>
            </w:tcBorders>
            <w:noWrap/>
            <w:vAlign w:val="center"/>
          </w:tcPr>
          <w:p>
            <w:pPr>
              <w:pStyle w:val="158"/>
              <w:snapToGrid w:val="0"/>
              <w:spacing w:after="0"/>
              <w:ind w:right="181" w:firstLine="0"/>
              <w:jc w:val="center"/>
              <w:rPr>
                <w:rFonts w:ascii="宋体" w:hAnsi="宋体" w:cs="宋体"/>
                <w:color w:val="0000FF"/>
                <w:sz w:val="21"/>
                <w:szCs w:val="21"/>
              </w:rPr>
            </w:pPr>
            <w:r>
              <w:rPr>
                <w:rFonts w:hint="eastAsia" w:ascii="宋体" w:hAnsi="宋体" w:cs="宋体"/>
                <w:color w:val="0000FF"/>
                <w:sz w:val="21"/>
                <w:szCs w:val="21"/>
              </w:rPr>
              <w:t>《机械制造企业安全生产标准化规范》（AQ/T 7009—2013）</w:t>
            </w:r>
          </w:p>
          <w:p>
            <w:pPr>
              <w:autoSpaceDE w:val="0"/>
              <w:autoSpaceDN w:val="0"/>
              <w:jc w:val="center"/>
              <w:rPr>
                <w:rFonts w:hint="eastAsia" w:ascii="宋体" w:hAnsi="宋体" w:eastAsia="宋体" w:cs="宋体"/>
                <w:color w:val="0000FF"/>
                <w:szCs w:val="21"/>
                <w:lang w:val="en-US" w:eastAsia="zh-CN"/>
              </w:rPr>
            </w:pPr>
            <w:r>
              <w:rPr>
                <w:rFonts w:hint="eastAsia" w:ascii="宋体" w:hAnsi="宋体" w:cs="宋体"/>
                <w:color w:val="0000FF"/>
                <w:szCs w:val="21"/>
              </w:rPr>
              <w:t>4.1.</w:t>
            </w:r>
            <w:r>
              <w:rPr>
                <w:rFonts w:hint="eastAsia" w:ascii="宋体" w:hAnsi="宋体" w:cs="宋体"/>
                <w:color w:val="0000FF"/>
                <w:szCs w:val="21"/>
                <w:lang w:val="en-US" w:eastAsia="zh-CN"/>
              </w:rPr>
              <w:t>11</w:t>
            </w:r>
            <w:r>
              <w:rPr>
                <w:rFonts w:hint="eastAsia" w:ascii="宋体" w:hAnsi="宋体" w:cs="宋体"/>
                <w:color w:val="0000FF"/>
                <w:szCs w:val="21"/>
              </w:rPr>
              <w:t>.</w:t>
            </w:r>
            <w:r>
              <w:rPr>
                <w:rFonts w:hint="eastAsia" w:ascii="宋体" w:hAnsi="宋体" w:cs="宋体"/>
                <w:color w:val="0000FF"/>
                <w:szCs w:val="21"/>
                <w:lang w:val="en-US" w:eastAsia="zh-CN"/>
              </w:rPr>
              <w:t>1</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hint="default" w:eastAsia="宋体"/>
                <w:color w:val="0000FF"/>
                <w:lang w:val="en-US" w:eastAsia="zh-CN"/>
              </w:rPr>
            </w:pPr>
            <w:r>
              <w:rPr>
                <w:rFonts w:hint="eastAsia"/>
                <w:color w:val="0000FF"/>
                <w:lang w:val="en-US" w:eastAsia="zh-CN"/>
              </w:rPr>
              <w:t>企业</w:t>
            </w:r>
            <w:r>
              <w:rPr>
                <w:rFonts w:hint="default" w:eastAsia="宋体"/>
                <w:color w:val="0000FF"/>
                <w:lang w:val="en-US" w:eastAsia="zh-CN"/>
              </w:rPr>
              <w:t>为不同作业人员配置相应的防护用品，并设置备用。</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color w:val="0000FF"/>
              </w:rPr>
            </w:pPr>
            <w:r>
              <w:rPr>
                <w:rFonts w:hint="eastAsia"/>
                <w:color w:val="0000FF"/>
              </w:rPr>
              <w:t>劳动防护用品供应商应具有相应的资质,其提供的劳动防护用品的质量应符合国家、行业的相关标准。特种劳动防护用品应有特定的安全标志。</w:t>
            </w:r>
            <w:r>
              <w:rPr>
                <w:rFonts w:hint="eastAsia"/>
                <w:color w:val="0000FF"/>
              </w:rPr>
              <w:tab/>
            </w:r>
          </w:p>
        </w:tc>
        <w:tc>
          <w:tcPr>
            <w:tcW w:w="2155" w:type="dxa"/>
            <w:tcBorders>
              <w:top w:val="single" w:color="auto" w:sz="4" w:space="0"/>
              <w:left w:val="single" w:color="auto" w:sz="4" w:space="0"/>
              <w:bottom w:val="single" w:color="auto" w:sz="4" w:space="0"/>
              <w:right w:val="single" w:color="auto" w:sz="4" w:space="0"/>
            </w:tcBorders>
            <w:noWrap/>
            <w:vAlign w:val="center"/>
          </w:tcPr>
          <w:p>
            <w:pPr>
              <w:pStyle w:val="158"/>
              <w:snapToGrid w:val="0"/>
              <w:spacing w:after="0"/>
              <w:ind w:right="181" w:firstLine="0"/>
              <w:jc w:val="center"/>
              <w:rPr>
                <w:rFonts w:ascii="宋体" w:hAnsi="宋体" w:cs="宋体"/>
                <w:color w:val="0000FF"/>
                <w:sz w:val="21"/>
                <w:szCs w:val="21"/>
              </w:rPr>
            </w:pPr>
            <w:r>
              <w:rPr>
                <w:rFonts w:hint="eastAsia" w:ascii="宋体" w:hAnsi="宋体" w:cs="宋体"/>
                <w:color w:val="0000FF"/>
                <w:sz w:val="21"/>
                <w:szCs w:val="21"/>
              </w:rPr>
              <w:t>《机械制造企业安全生产标准化规范》（AQ/T 7009—2013）</w:t>
            </w:r>
          </w:p>
          <w:p>
            <w:pPr>
              <w:autoSpaceDE w:val="0"/>
              <w:autoSpaceDN w:val="0"/>
              <w:jc w:val="center"/>
              <w:rPr>
                <w:rFonts w:hint="eastAsia" w:ascii="宋体" w:hAnsi="宋体" w:eastAsia="宋体" w:cs="宋体"/>
                <w:color w:val="0000FF"/>
                <w:szCs w:val="21"/>
                <w:lang w:val="en-US" w:eastAsia="zh-CN"/>
              </w:rPr>
            </w:pPr>
            <w:r>
              <w:rPr>
                <w:rFonts w:hint="eastAsia" w:ascii="宋体" w:hAnsi="宋体" w:cs="宋体"/>
                <w:color w:val="0000FF"/>
                <w:szCs w:val="21"/>
              </w:rPr>
              <w:t>4.1.</w:t>
            </w:r>
            <w:r>
              <w:rPr>
                <w:rFonts w:hint="eastAsia" w:ascii="宋体" w:hAnsi="宋体" w:cs="宋体"/>
                <w:color w:val="0000FF"/>
                <w:szCs w:val="21"/>
                <w:lang w:val="en-US" w:eastAsia="zh-CN"/>
              </w:rPr>
              <w:t>11</w:t>
            </w:r>
            <w:r>
              <w:rPr>
                <w:rFonts w:hint="eastAsia" w:ascii="宋体" w:hAnsi="宋体" w:cs="宋体"/>
                <w:color w:val="0000FF"/>
                <w:szCs w:val="21"/>
              </w:rPr>
              <w:t>.</w:t>
            </w:r>
            <w:r>
              <w:rPr>
                <w:rFonts w:hint="eastAsia" w:ascii="宋体" w:hAnsi="宋体" w:cs="宋体"/>
                <w:color w:val="0000FF"/>
                <w:szCs w:val="21"/>
                <w:lang w:val="en-US" w:eastAsia="zh-CN"/>
              </w:rPr>
              <w:t>2</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hint="eastAsia" w:eastAsia="宋体"/>
                <w:color w:val="0000FF"/>
                <w:lang w:val="en-US" w:eastAsia="zh-CN"/>
              </w:rPr>
            </w:pPr>
            <w:r>
              <w:rPr>
                <w:rFonts w:hint="eastAsia"/>
                <w:color w:val="0000FF"/>
                <w:lang w:val="en-US" w:eastAsia="zh-CN"/>
              </w:rPr>
              <w:t>企业提供</w:t>
            </w:r>
            <w:r>
              <w:rPr>
                <w:rFonts w:hint="eastAsia"/>
                <w:color w:val="0000FF"/>
              </w:rPr>
              <w:t>劳动防护用品的质量符合国家、行业的相关标准</w:t>
            </w:r>
            <w:r>
              <w:rPr>
                <w:rFonts w:hint="eastAsia"/>
                <w:color w:val="0000FF"/>
                <w:lang w:eastAsia="zh-CN"/>
              </w:rPr>
              <w:t>。</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color w:val="0000FF"/>
              </w:rPr>
            </w:pPr>
            <w:r>
              <w:rPr>
                <w:rFonts w:hint="eastAsia"/>
                <w:color w:val="0000FF"/>
              </w:rPr>
              <w:t>企业应按照发放标准为从业人员提供劳动防护用品,并确保从业人员正确使用和穿戴劳动防护用品。</w:t>
            </w:r>
          </w:p>
        </w:tc>
        <w:tc>
          <w:tcPr>
            <w:tcW w:w="2155" w:type="dxa"/>
            <w:tcBorders>
              <w:top w:val="single" w:color="auto" w:sz="4" w:space="0"/>
              <w:left w:val="single" w:color="auto" w:sz="4" w:space="0"/>
              <w:bottom w:val="single" w:color="auto" w:sz="4" w:space="0"/>
              <w:right w:val="single" w:color="auto" w:sz="4" w:space="0"/>
            </w:tcBorders>
            <w:noWrap/>
            <w:vAlign w:val="center"/>
          </w:tcPr>
          <w:p>
            <w:pPr>
              <w:pStyle w:val="158"/>
              <w:snapToGrid w:val="0"/>
              <w:spacing w:after="0"/>
              <w:ind w:right="181" w:firstLine="0"/>
              <w:jc w:val="center"/>
              <w:rPr>
                <w:rFonts w:ascii="宋体" w:hAnsi="宋体" w:cs="宋体"/>
                <w:color w:val="0000FF"/>
                <w:sz w:val="21"/>
                <w:szCs w:val="21"/>
              </w:rPr>
            </w:pPr>
            <w:r>
              <w:rPr>
                <w:rFonts w:hint="eastAsia" w:ascii="宋体" w:hAnsi="宋体" w:cs="宋体"/>
                <w:color w:val="0000FF"/>
                <w:sz w:val="21"/>
                <w:szCs w:val="21"/>
              </w:rPr>
              <w:t>《机械制造企业安全生产标准化规范》（AQ/T 7009—2013）</w:t>
            </w:r>
          </w:p>
          <w:p>
            <w:pPr>
              <w:autoSpaceDE w:val="0"/>
              <w:autoSpaceDN w:val="0"/>
              <w:jc w:val="center"/>
              <w:rPr>
                <w:rFonts w:hint="eastAsia" w:ascii="宋体" w:hAnsi="宋体" w:cs="宋体"/>
                <w:color w:val="0000FF"/>
                <w:szCs w:val="21"/>
              </w:rPr>
            </w:pPr>
            <w:r>
              <w:rPr>
                <w:rFonts w:hint="eastAsia" w:ascii="宋体" w:hAnsi="宋体" w:cs="宋体"/>
                <w:color w:val="0000FF"/>
                <w:szCs w:val="21"/>
              </w:rPr>
              <w:t>4.1.</w:t>
            </w:r>
            <w:r>
              <w:rPr>
                <w:rFonts w:hint="eastAsia" w:ascii="宋体" w:hAnsi="宋体" w:cs="宋体"/>
                <w:color w:val="0000FF"/>
                <w:szCs w:val="21"/>
                <w:lang w:val="en-US" w:eastAsia="zh-CN"/>
              </w:rPr>
              <w:t>11</w:t>
            </w:r>
            <w:r>
              <w:rPr>
                <w:rFonts w:hint="eastAsia" w:ascii="宋体" w:hAnsi="宋体" w:cs="宋体"/>
                <w:color w:val="0000FF"/>
                <w:szCs w:val="21"/>
              </w:rPr>
              <w:t>.3</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hint="eastAsia"/>
                <w:color w:val="0000FF"/>
              </w:rPr>
            </w:pPr>
            <w:r>
              <w:rPr>
                <w:rFonts w:hint="eastAsia"/>
                <w:color w:val="0000FF"/>
                <w:lang w:val="en-US" w:eastAsia="zh-CN"/>
              </w:rPr>
              <w:t>企业</w:t>
            </w:r>
            <w:r>
              <w:rPr>
                <w:rFonts w:hint="eastAsia"/>
                <w:color w:val="0000FF"/>
              </w:rPr>
              <w:t>为不同作业人员配置相应的防护用品，并设置备用。</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hint="eastAsia"/>
                <w:color w:val="0000FF"/>
              </w:rPr>
            </w:pPr>
            <w:r>
              <w:rPr>
                <w:rFonts w:hint="eastAsia"/>
                <w:color w:val="0000FF"/>
              </w:rPr>
              <w:t>企业应按照应急预案的要求配备相应的应急物资及装备，并应确保应急物资及装备的完好、有效,配备应急装备时,应考虑外部可以支援的应急能力。</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default" w:ascii="宋体" w:hAnsi="宋体" w:eastAsia="宋体" w:cs="宋体"/>
                <w:color w:val="0000FF"/>
                <w:szCs w:val="21"/>
                <w:lang w:val="en-US" w:eastAsia="zh-CN"/>
              </w:rPr>
            </w:pPr>
            <w:r>
              <w:rPr>
                <w:rFonts w:hint="eastAsia" w:ascii="宋体" w:hAnsi="宋体" w:cs="宋体"/>
                <w:color w:val="0000FF"/>
                <w:szCs w:val="21"/>
                <w:lang w:val="en-US" w:eastAsia="zh-CN"/>
              </w:rPr>
              <w:t>4.1.12.3</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hint="eastAsia" w:eastAsia="宋体"/>
                <w:color w:val="0000FF"/>
                <w:lang w:eastAsia="zh-CN"/>
              </w:rPr>
            </w:pPr>
            <w:r>
              <w:rPr>
                <w:rFonts w:hint="eastAsia"/>
                <w:color w:val="0000FF"/>
              </w:rPr>
              <w:t>企业按照应急预案的要求配备相应的应急物资及装备</w:t>
            </w:r>
            <w:r>
              <w:rPr>
                <w:rFonts w:hint="eastAsia"/>
                <w:color w:val="0000FF"/>
                <w:lang w:eastAsia="zh-CN"/>
              </w:rPr>
              <w:t>。</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default" w:ascii="宋体" w:hAnsi="宋体" w:cs="宋体"/>
                <w:color w:val="0000FF"/>
                <w:szCs w:val="21"/>
                <w:lang w:val="en-US" w:eastAsia="zh-CN"/>
              </w:rPr>
            </w:pPr>
            <w:r>
              <w:rPr>
                <w:rFonts w:hint="eastAsia" w:ascii="宋体" w:hAnsi="宋体" w:cs="宋体"/>
                <w:color w:val="0000FF"/>
                <w:szCs w:val="21"/>
                <w:lang w:val="en-US" w:eastAsia="zh-CN"/>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color w:val="0000FF"/>
              </w:rPr>
            </w:pPr>
            <w:r>
              <w:rPr>
                <w:color w:val="0000FF"/>
              </w:rPr>
              <w:t>企业应建立健全安全生产和职业卫生规章制度，并征求工会及从业人员意见和建议，规范安全生产和职业卫生管理工作</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eastAsia" w:ascii="宋体" w:hAnsi="宋体" w:cs="宋体"/>
                <w:color w:val="0000FF"/>
                <w:szCs w:val="21"/>
              </w:rPr>
            </w:pPr>
            <w:r>
              <w:rPr>
                <w:rFonts w:hint="eastAsia" w:ascii="宋体" w:hAnsi="宋体" w:cs="宋体"/>
                <w:color w:val="0000FF"/>
                <w:szCs w:val="21"/>
              </w:rPr>
              <w:t>《企业安全生产标准化基本规范》</w:t>
            </w:r>
          </w:p>
          <w:p>
            <w:pPr>
              <w:autoSpaceDE w:val="0"/>
              <w:autoSpaceDN w:val="0"/>
              <w:jc w:val="center"/>
              <w:rPr>
                <w:rFonts w:hint="default" w:ascii="宋体" w:hAnsi="宋体" w:eastAsia="宋体" w:cs="宋体"/>
                <w:color w:val="0000FF"/>
                <w:szCs w:val="21"/>
                <w:lang w:val="en-US" w:eastAsia="zh-CN"/>
              </w:rPr>
            </w:pPr>
            <w:r>
              <w:rPr>
                <w:rFonts w:hint="eastAsia" w:ascii="宋体" w:hAnsi="宋体" w:cs="宋体"/>
                <w:color w:val="0000FF"/>
                <w:szCs w:val="21"/>
              </w:rPr>
              <w:t>（GB/T33000-2016）</w:t>
            </w:r>
            <w:r>
              <w:rPr>
                <w:rFonts w:hint="eastAsia" w:ascii="宋体" w:hAnsi="宋体" w:cs="宋体"/>
                <w:color w:val="0000FF"/>
                <w:szCs w:val="21"/>
                <w:lang w:val="en-US" w:eastAsia="zh-CN"/>
              </w:rPr>
              <w:t>5.2.2</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hint="eastAsia" w:eastAsia="宋体"/>
                <w:color w:val="0000FF"/>
                <w:lang w:eastAsia="zh-CN"/>
              </w:rPr>
            </w:pPr>
            <w:r>
              <w:rPr>
                <w:color w:val="0000FF"/>
              </w:rPr>
              <w:t>企业建立</w:t>
            </w:r>
            <w:r>
              <w:rPr>
                <w:rFonts w:hint="eastAsia"/>
                <w:color w:val="0000FF"/>
                <w:lang w:val="en-US" w:eastAsia="zh-CN"/>
              </w:rPr>
              <w:t>完整的</w:t>
            </w:r>
            <w:r>
              <w:rPr>
                <w:color w:val="0000FF"/>
              </w:rPr>
              <w:t>安全生产和职业卫生规章制度</w:t>
            </w:r>
            <w:r>
              <w:rPr>
                <w:rFonts w:hint="eastAsia"/>
                <w:color w:val="0000FF"/>
                <w:lang w:eastAsia="zh-CN"/>
              </w:rPr>
              <w:t>。</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344" w:type="dxa"/>
            <w:tcBorders>
              <w:top w:val="single" w:color="auto" w:sz="4" w:space="0"/>
              <w:left w:val="single" w:color="auto" w:sz="4" w:space="0"/>
              <w:bottom w:val="single" w:color="auto" w:sz="4" w:space="0"/>
              <w:right w:val="single" w:color="auto" w:sz="4" w:space="0"/>
            </w:tcBorders>
            <w:noWrap/>
            <w:vAlign w:val="center"/>
          </w:tcPr>
          <w:p>
            <w:pPr>
              <w:numPr>
                <w:ilvl w:val="0"/>
                <w:numId w:val="18"/>
              </w:numPr>
              <w:autoSpaceDE w:val="0"/>
              <w:autoSpaceDN w:val="0"/>
              <w:rPr>
                <w:rFonts w:ascii="宋体" w:hAnsi="宋体" w:cs="宋体"/>
                <w:szCs w:val="21"/>
              </w:rPr>
            </w:pPr>
          </w:p>
        </w:tc>
        <w:tc>
          <w:tcPr>
            <w:tcW w:w="4283"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color w:val="0000FF"/>
              </w:rPr>
            </w:pPr>
            <w:r>
              <w:rPr>
                <w:rFonts w:hint="eastAsia"/>
                <w:color w:val="0000FF"/>
              </w:rPr>
              <w:t>企业应按照有关规定，结合本企业生产工艺、作业任务特点以及岗位作业安全风险与职业病防护要求，编制齐全适用的岗位安全生产和职业卫生操作规程，发放到相关岗位员工，并严格执行。企业应确保从业人员参与岗位安全生产和职业卫生操作规程的编制和修订工作。企业应在新技术、新材料、新工艺、新设备设施投入使用前，组织制修订相应的安全生产和职业卫生操作规程，确保其适宜性和有效性。</w:t>
            </w:r>
          </w:p>
        </w:tc>
        <w:tc>
          <w:tcPr>
            <w:tcW w:w="2155"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eastAsia" w:ascii="宋体" w:hAnsi="宋体" w:cs="宋体"/>
                <w:color w:val="0000FF"/>
                <w:szCs w:val="21"/>
              </w:rPr>
            </w:pPr>
            <w:r>
              <w:rPr>
                <w:rFonts w:hint="eastAsia" w:ascii="宋体" w:hAnsi="宋体" w:cs="宋体"/>
                <w:color w:val="0000FF"/>
                <w:szCs w:val="21"/>
              </w:rPr>
              <w:t>《企业安全生产标准化基本规范》</w:t>
            </w:r>
          </w:p>
          <w:p>
            <w:pPr>
              <w:autoSpaceDE w:val="0"/>
              <w:autoSpaceDN w:val="0"/>
              <w:jc w:val="center"/>
              <w:rPr>
                <w:rFonts w:hint="default" w:ascii="宋体" w:hAnsi="宋体" w:cs="宋体"/>
                <w:color w:val="0000FF"/>
                <w:szCs w:val="21"/>
                <w:lang w:val="en-US"/>
              </w:rPr>
            </w:pPr>
            <w:r>
              <w:rPr>
                <w:rFonts w:hint="eastAsia" w:ascii="宋体" w:hAnsi="宋体" w:cs="宋体"/>
                <w:color w:val="0000FF"/>
                <w:szCs w:val="21"/>
              </w:rPr>
              <w:t>（GB/T33000-2016）</w:t>
            </w:r>
            <w:r>
              <w:rPr>
                <w:rFonts w:hint="eastAsia" w:ascii="宋体" w:hAnsi="宋体" w:cs="宋体"/>
                <w:color w:val="0000FF"/>
                <w:szCs w:val="21"/>
                <w:lang w:val="en-US" w:eastAsia="zh-CN"/>
              </w:rPr>
              <w:t>5.2.3</w:t>
            </w:r>
          </w:p>
        </w:tc>
        <w:tc>
          <w:tcPr>
            <w:tcW w:w="22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hint="eastAsia" w:eastAsia="宋体"/>
                <w:color w:val="0000FF"/>
                <w:lang w:eastAsia="zh-CN"/>
              </w:rPr>
            </w:pPr>
            <w:r>
              <w:rPr>
                <w:rFonts w:hint="eastAsia"/>
                <w:color w:val="0000FF"/>
                <w:lang w:val="en-US" w:eastAsia="zh-CN"/>
              </w:rPr>
              <w:t>企业</w:t>
            </w:r>
            <w:r>
              <w:rPr>
                <w:rFonts w:hint="eastAsia"/>
                <w:color w:val="0000FF"/>
              </w:rPr>
              <w:t>编制齐全适用的岗位安全生产和职业卫生操作规程</w:t>
            </w:r>
            <w:r>
              <w:rPr>
                <w:rFonts w:hint="eastAsia"/>
                <w:color w:val="0000FF"/>
                <w:lang w:eastAsia="zh-CN"/>
              </w:rPr>
              <w:t>。</w:t>
            </w:r>
          </w:p>
        </w:tc>
        <w:tc>
          <w:tcPr>
            <w:tcW w:w="53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符合</w:t>
            </w:r>
          </w:p>
        </w:tc>
      </w:tr>
    </w:tbl>
    <w:p/>
    <w:p>
      <w:pPr>
        <w:pStyle w:val="5"/>
        <w:keepNext w:val="0"/>
        <w:keepLines w:val="0"/>
        <w:snapToGrid w:val="0"/>
        <w:spacing w:before="0" w:after="0" w:line="360" w:lineRule="auto"/>
        <w:rPr>
          <w:rFonts w:ascii="宋体" w:hAnsi="宋体" w:cs="宋体"/>
          <w:sz w:val="28"/>
          <w:szCs w:val="28"/>
        </w:rPr>
      </w:pPr>
      <w:bookmarkStart w:id="600" w:name="_Toc32094"/>
      <w:bookmarkStart w:id="601" w:name="_Toc21840"/>
      <w:r>
        <w:rPr>
          <w:rFonts w:hint="eastAsia" w:ascii="宋体" w:hAnsi="宋体" w:cs="宋体"/>
          <w:sz w:val="28"/>
          <w:szCs w:val="28"/>
        </w:rPr>
        <w:t>5.6.2</w:t>
      </w:r>
      <w:r>
        <w:rPr>
          <w:rFonts w:hint="eastAsia" w:ascii="宋体" w:hAnsi="宋体" w:cs="宋体"/>
          <w:sz w:val="28"/>
          <w:szCs w:val="28"/>
          <w:lang w:val="en-US" w:eastAsia="zh-CN"/>
        </w:rPr>
        <w:t xml:space="preserve"> </w:t>
      </w:r>
      <w:r>
        <w:rPr>
          <w:rFonts w:hint="eastAsia" w:ascii="宋体" w:hAnsi="宋体" w:cs="宋体"/>
          <w:sz w:val="28"/>
          <w:szCs w:val="28"/>
        </w:rPr>
        <w:t>单元小结</w:t>
      </w:r>
      <w:bookmarkEnd w:id="600"/>
      <w:bookmarkEnd w:id="601"/>
    </w:p>
    <w:p>
      <w:pPr>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w:t>
      </w:r>
      <w:bookmarkStart w:id="602" w:name="_Hlk24383025"/>
      <w:r>
        <w:rPr>
          <w:rFonts w:hint="eastAsia" w:ascii="宋体" w:hAnsi="宋体"/>
          <w:b/>
          <w:bCs/>
          <w:color w:val="000000" w:themeColor="text1"/>
          <w:sz w:val="28"/>
          <w:szCs w:val="28"/>
          <w14:textFill>
            <w14:solidFill>
              <w14:schemeClr w14:val="tx1"/>
            </w14:solidFill>
          </w14:textFill>
        </w:rPr>
        <w:t>安全管理机构</w:t>
      </w: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董事长为安全生产第一责任人，公司成立了安全生产委员会，董事长任主任，总经理、主管生产安全的副总任常务副主任，工会主席、副总经理、财务总监任副主任，公司各车间、部门领导为成员。设置环境安全管理部并任命了专、兼职安全员，环境安全管理部负责日常安全管理。</w:t>
      </w:r>
    </w:p>
    <w:p>
      <w:pPr>
        <w:snapToGrid w:val="0"/>
        <w:spacing w:line="360" w:lineRule="auto"/>
        <w:ind w:firstLine="562" w:firstLineChars="200"/>
        <w:rPr>
          <w:b/>
          <w:bCs/>
          <w:color w:val="000000" w:themeColor="text1"/>
          <w:sz w:val="28"/>
          <w:szCs w:val="28"/>
          <w14:textFill>
            <w14:solidFill>
              <w14:schemeClr w14:val="tx1"/>
            </w14:solidFill>
          </w14:textFill>
        </w:rPr>
      </w:pPr>
      <w:r>
        <w:rPr>
          <w:rFonts w:hint="eastAsia" w:ascii="宋体" w:hAnsi="宋体"/>
          <w:b/>
          <w:bCs/>
          <w:color w:val="000000" w:themeColor="text1"/>
          <w:sz w:val="28"/>
          <w14:textFill>
            <w14:solidFill>
              <w14:schemeClr w14:val="tx1"/>
            </w14:solidFill>
          </w14:textFill>
        </w:rPr>
        <w:t>2.从业人员培训</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所有员工上岗前均进行“三级”安全教育培训，经考试合格后方可上岗；安全管理人员和特种作业人员做到了持证上岗。</w:t>
      </w:r>
    </w:p>
    <w:p>
      <w:pPr>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3.规程、制度的执行情况</w:t>
      </w:r>
    </w:p>
    <w:p>
      <w:pPr>
        <w:pStyle w:val="143"/>
        <w:snapToGrid w:val="0"/>
        <w:spacing w:line="360" w:lineRule="auto"/>
        <w:ind w:firstLine="560" w:firstLineChars="200"/>
        <w:rPr>
          <w:rFonts w:ascii="宋体" w:hAnsi="宋体"/>
          <w:color w:val="000000" w:themeColor="text1"/>
          <w:kern w:val="2"/>
          <w:sz w:val="28"/>
          <w:szCs w:val="28"/>
          <w14:textFill>
            <w14:solidFill>
              <w14:schemeClr w14:val="tx1"/>
            </w14:solidFill>
          </w14:textFill>
        </w:rPr>
      </w:pPr>
      <w:bookmarkStart w:id="603" w:name="_Hlk24375597"/>
      <w:r>
        <w:rPr>
          <w:rFonts w:hint="eastAsia" w:ascii="宋体" w:hAnsi="宋体"/>
          <w:color w:val="000000" w:themeColor="text1"/>
          <w:sz w:val="28"/>
          <w:szCs w:val="28"/>
          <w14:textFill>
            <w14:solidFill>
              <w14:schemeClr w14:val="tx1"/>
            </w14:solidFill>
          </w14:textFill>
        </w:rPr>
        <w:t>公司定期组织各类人员进行安全生产法律法规、安全管理制度和操作规程等的教育和培训，各类安全教育和培训工作均按规定正常开展。</w:t>
      </w:r>
      <w:bookmarkEnd w:id="603"/>
      <w:r>
        <w:rPr>
          <w:rFonts w:hint="eastAsia" w:ascii="宋体" w:hAnsi="宋体"/>
          <w:color w:val="000000" w:themeColor="text1"/>
          <w:kern w:val="2"/>
          <w:sz w:val="28"/>
          <w:szCs w:val="28"/>
          <w14:textFill>
            <w14:solidFill>
              <w14:schemeClr w14:val="tx1"/>
            </w14:solidFill>
          </w14:textFill>
        </w:rPr>
        <w:t>从内容上看，涉及生产原理、工艺流程、工艺指标等，具有一定的安全指导性，但按相关法律、法规要求，企业应根据生产工艺、技术、设备特点和原材料、辅助材料、产品的危险性，需进一步完善各危险场所岗位安全操作规程，规范从业人员的操作行为，控制风险，避免事故的发生。</w:t>
      </w:r>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根据现场检查，该公司日常安全生产管理能按制度进行，安全生产管理制度能够得到遵守，工作人员自觉佩戴个体防护用品，穿着与危险环境相符合的工作服。</w:t>
      </w:r>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根据查看企业记录和台帐，有部分安全检查记录、教育培训记录和劳保用品发放记录等，但各项记录内容不全，针对性不强，需不断完善各项记录台账，并有效落实。</w:t>
      </w:r>
    </w:p>
    <w:p>
      <w:pPr>
        <w:adjustRightInd w:val="0"/>
        <w:snapToGrid w:val="0"/>
        <w:spacing w:line="360" w:lineRule="auto"/>
        <w:ind w:firstLine="560" w:firstLineChars="200"/>
        <w:rPr>
          <w:snapToGrid w:val="0"/>
          <w:kern w:val="0"/>
          <w:sz w:val="28"/>
          <w:szCs w:val="28"/>
        </w:rPr>
      </w:pPr>
      <w:r>
        <w:rPr>
          <w:rFonts w:hint="eastAsia"/>
          <w:snapToGrid w:val="0"/>
          <w:kern w:val="0"/>
          <w:sz w:val="28"/>
          <w:szCs w:val="28"/>
        </w:rPr>
        <w:t>综上所述，评价单位安全管理工作符合安全管理的有关要求。</w:t>
      </w:r>
    </w:p>
    <w:bookmarkEnd w:id="602"/>
    <w:p>
      <w:pPr>
        <w:pStyle w:val="4"/>
        <w:keepNext w:val="0"/>
        <w:keepLines w:val="0"/>
        <w:snapToGrid w:val="0"/>
        <w:spacing w:before="0" w:after="0" w:line="360" w:lineRule="auto"/>
        <w:jc w:val="left"/>
        <w:rPr>
          <w:rFonts w:ascii="宋体" w:hAnsi="宋体" w:cs="宋体"/>
          <w:snapToGrid/>
          <w:kern w:val="2"/>
        </w:rPr>
      </w:pPr>
      <w:bookmarkStart w:id="604" w:name="_Toc8609"/>
      <w:bookmarkStart w:id="605" w:name="_Toc6353"/>
      <w:bookmarkStart w:id="606" w:name="_Toc14457"/>
      <w:r>
        <w:rPr>
          <w:rFonts w:hint="eastAsia" w:ascii="宋体" w:hAnsi="宋体" w:cs="宋体"/>
          <w:snapToGrid/>
          <w:kern w:val="2"/>
        </w:rPr>
        <w:t>5.7 本章小结</w:t>
      </w:r>
      <w:bookmarkEnd w:id="604"/>
      <w:bookmarkEnd w:id="605"/>
      <w:bookmarkEnd w:id="606"/>
    </w:p>
    <w:p>
      <w:pPr>
        <w:snapToGrid w:val="0"/>
        <w:spacing w:line="360" w:lineRule="auto"/>
        <w:ind w:firstLine="560" w:firstLineChars="200"/>
        <w:rPr>
          <w:rFonts w:ascii="宋体" w:hAnsi="宋体"/>
          <w:sz w:val="28"/>
          <w:szCs w:val="28"/>
        </w:rPr>
      </w:pPr>
      <w:r>
        <w:rPr>
          <w:rFonts w:hint="eastAsia" w:ascii="宋体" w:hAnsi="宋体"/>
          <w:sz w:val="28"/>
          <w:szCs w:val="28"/>
        </w:rPr>
        <w:t>评价组通过对本项目的总体布局、生产工艺及设备设施、公用工程及辅助设施、常规防护检测设备、特种设备及强检设备设施、安全生产管理、“三同时”符合性方面利用安全检查或安全检查表的形式进行检查及对企业针对报告中提出的不符合项整改的情况检查，认为本项目与周边环境相互影响较小，自然条件等满足建设项目的需要；总平面布置各功能区分布合理，布局连续紧凑，分区明确，便于管理，厂区道路符合国家相关标准、规范的规定和要求，保证了厂内道路运输畅通；生产工艺及设备设施符合国家产业政策的规定；常规防护单设施、特种设备及强检设备设施符国家标准、规范规定的相关条款要求；公用工程及辅助设施能满足该项目安全生产需求，符合相关法律法规及标准；昆明恒和环保科技有限公司相设立了安全管理组织机构，制定了基本的安全生产责任制、管理规章制度和操作规程，配备了一定的人员和物质资源，有基本的台账记录，安全管理方面能满足项目需要；该工程的安全设施设置达到了“三同时”要求，试生产期间安全设施的运行状况符合“安全、可靠、有效”的相关要求。结合本项目工程施工交接和验收资料看，该项目在施工中也落实了《安全设施设计》要求的安全设施。</w:t>
      </w:r>
    </w:p>
    <w:p>
      <w:pPr>
        <w:rPr>
          <w:rFonts w:ascii="宋体" w:hAnsi="宋体" w:cs="宋体"/>
          <w:sz w:val="36"/>
          <w:szCs w:val="36"/>
        </w:rPr>
      </w:pPr>
      <w:r>
        <w:rPr>
          <w:rFonts w:hint="eastAsia" w:ascii="宋体" w:hAnsi="宋体" w:cs="宋体"/>
          <w:sz w:val="36"/>
          <w:szCs w:val="36"/>
        </w:rPr>
        <w:br w:type="page"/>
      </w:r>
    </w:p>
    <w:p>
      <w:pPr>
        <w:pStyle w:val="3"/>
        <w:rPr>
          <w:rFonts w:ascii="宋体" w:hAnsi="宋体" w:cs="宋体"/>
          <w:sz w:val="36"/>
          <w:szCs w:val="36"/>
        </w:rPr>
      </w:pPr>
      <w:bookmarkStart w:id="607" w:name="_Toc10290"/>
      <w:r>
        <w:rPr>
          <w:rFonts w:hint="eastAsia" w:ascii="宋体" w:hAnsi="宋体" w:cs="宋体"/>
          <w:sz w:val="36"/>
          <w:szCs w:val="36"/>
        </w:rPr>
        <w:t>6 存在的问题及整改情况</w:t>
      </w:r>
      <w:bookmarkEnd w:id="503"/>
      <w:bookmarkEnd w:id="607"/>
    </w:p>
    <w:p>
      <w:pPr>
        <w:pStyle w:val="4"/>
        <w:keepNext w:val="0"/>
        <w:keepLines w:val="0"/>
        <w:snapToGrid w:val="0"/>
        <w:spacing w:before="0" w:after="0" w:line="360" w:lineRule="auto"/>
        <w:jc w:val="left"/>
        <w:rPr>
          <w:rFonts w:ascii="宋体" w:hAnsi="宋体" w:cs="宋体"/>
          <w:snapToGrid/>
          <w:kern w:val="2"/>
        </w:rPr>
      </w:pPr>
      <w:bookmarkStart w:id="608" w:name="_Toc522025306"/>
      <w:bookmarkStart w:id="609" w:name="_Toc18528"/>
      <w:r>
        <w:rPr>
          <w:rFonts w:ascii="宋体" w:hAnsi="宋体" w:cs="宋体"/>
          <w:snapToGrid/>
          <w:kern w:val="2"/>
        </w:rPr>
        <w:t>6.1</w:t>
      </w:r>
      <w:r>
        <w:rPr>
          <w:rFonts w:hint="eastAsia" w:ascii="宋体" w:hAnsi="宋体" w:cs="宋体"/>
          <w:snapToGrid/>
          <w:kern w:val="2"/>
          <w:lang w:val="en-US" w:eastAsia="zh-CN"/>
        </w:rPr>
        <w:t xml:space="preserve"> </w:t>
      </w:r>
      <w:r>
        <w:rPr>
          <w:rFonts w:hint="eastAsia" w:ascii="宋体" w:hAnsi="宋体" w:cs="宋体"/>
          <w:snapToGrid/>
          <w:kern w:val="2"/>
        </w:rPr>
        <w:t>存在问题及整改</w:t>
      </w:r>
      <w:bookmarkEnd w:id="608"/>
      <w:r>
        <w:rPr>
          <w:rFonts w:hint="eastAsia" w:ascii="宋体" w:hAnsi="宋体" w:cs="宋体"/>
          <w:snapToGrid/>
          <w:kern w:val="2"/>
        </w:rPr>
        <w:t>情况</w:t>
      </w:r>
      <w:bookmarkEnd w:id="609"/>
    </w:p>
    <w:p>
      <w:pPr>
        <w:snapToGrid w:val="0"/>
        <w:spacing w:line="360" w:lineRule="auto"/>
        <w:ind w:firstLine="560" w:firstLineChars="200"/>
        <w:rPr>
          <w:rFonts w:ascii="宋体" w:hAnsi="宋体"/>
          <w:sz w:val="28"/>
          <w:szCs w:val="28"/>
        </w:rPr>
      </w:pPr>
      <w:r>
        <w:rPr>
          <w:rFonts w:hint="eastAsia" w:ascii="宋体" w:hAnsi="宋体"/>
          <w:sz w:val="28"/>
          <w:szCs w:val="28"/>
        </w:rPr>
        <w:t>在项目安全评价过程中，评价组对该项目现场进行了检查，对发现的问题列出隐患清单。</w:t>
      </w:r>
      <w:bookmarkStart w:id="610" w:name="_Toc185213954"/>
      <w:bookmarkStart w:id="611" w:name="_Toc104020781"/>
      <w:bookmarkStart w:id="612" w:name="_Toc180983283"/>
      <w:bookmarkStart w:id="613" w:name="_Toc204424810"/>
      <w:bookmarkStart w:id="614" w:name="_Toc189558342"/>
      <w:bookmarkStart w:id="615" w:name="_Toc203811136"/>
      <w:r>
        <w:rPr>
          <w:rFonts w:hint="eastAsia" w:ascii="宋体" w:hAnsi="宋体"/>
          <w:sz w:val="28"/>
          <w:szCs w:val="28"/>
        </w:rPr>
        <w:t>主要见下表6-1。</w:t>
      </w:r>
    </w:p>
    <w:p>
      <w:pPr>
        <w:pStyle w:val="30"/>
        <w:autoSpaceDE w:val="0"/>
        <w:autoSpaceDN w:val="0"/>
        <w:adjustRightInd w:val="0"/>
        <w:snapToGrid w:val="0"/>
        <w:ind w:firstLineChars="200"/>
        <w:jc w:val="center"/>
        <w:rPr>
          <w:rFonts w:ascii="宋体" w:hAnsi="宋体" w:cs="宋体"/>
          <w:bCs/>
          <w:snapToGrid w:val="0"/>
        </w:rPr>
      </w:pPr>
      <w:r>
        <w:rPr>
          <w:rFonts w:hint="eastAsia" w:ascii="宋体" w:hAnsi="宋体" w:cs="宋体"/>
          <w:bCs/>
          <w:snapToGrid w:val="0"/>
        </w:rPr>
        <w:t>表6-1 现场检查存在问题</w:t>
      </w:r>
    </w:p>
    <w:tbl>
      <w:tblPr>
        <w:tblStyle w:val="52"/>
        <w:tblW w:w="8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7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jc w:val="center"/>
        </w:trPr>
        <w:tc>
          <w:tcPr>
            <w:tcW w:w="1680" w:type="dxa"/>
            <w:noWrap/>
            <w:vAlign w:val="center"/>
          </w:tcPr>
          <w:p>
            <w:pPr>
              <w:pStyle w:val="30"/>
              <w:autoSpaceDE w:val="0"/>
              <w:autoSpaceDN w:val="0"/>
              <w:adjustRightInd w:val="0"/>
              <w:snapToGrid w:val="0"/>
              <w:spacing w:line="240" w:lineRule="auto"/>
              <w:ind w:firstLine="0"/>
              <w:jc w:val="center"/>
              <w:rPr>
                <w:rFonts w:ascii="宋体" w:hAnsi="宋体" w:cs="宋体"/>
                <w:b/>
                <w:snapToGrid w:val="0"/>
                <w:sz w:val="21"/>
                <w:szCs w:val="21"/>
              </w:rPr>
            </w:pPr>
            <w:r>
              <w:rPr>
                <w:rFonts w:hint="eastAsia" w:ascii="宋体" w:hAnsi="宋体" w:cs="宋体"/>
                <w:b/>
                <w:snapToGrid w:val="0"/>
                <w:sz w:val="21"/>
                <w:szCs w:val="21"/>
              </w:rPr>
              <w:t>序号</w:t>
            </w:r>
          </w:p>
        </w:tc>
        <w:tc>
          <w:tcPr>
            <w:tcW w:w="7219" w:type="dxa"/>
            <w:noWrap/>
            <w:vAlign w:val="center"/>
          </w:tcPr>
          <w:p>
            <w:pPr>
              <w:pStyle w:val="30"/>
              <w:autoSpaceDE w:val="0"/>
              <w:autoSpaceDN w:val="0"/>
              <w:adjustRightInd w:val="0"/>
              <w:snapToGrid w:val="0"/>
              <w:spacing w:line="240" w:lineRule="auto"/>
              <w:jc w:val="center"/>
              <w:rPr>
                <w:rFonts w:ascii="宋体" w:hAnsi="宋体" w:cs="宋体"/>
                <w:b/>
                <w:snapToGrid w:val="0"/>
                <w:sz w:val="21"/>
                <w:szCs w:val="21"/>
              </w:rPr>
            </w:pPr>
            <w:r>
              <w:rPr>
                <w:rFonts w:hint="eastAsia" w:ascii="宋体" w:hAnsi="宋体" w:cs="宋体"/>
                <w:b/>
                <w:snapToGrid w:val="0"/>
                <w:sz w:val="21"/>
                <w:szCs w:val="21"/>
              </w:rPr>
              <w:t>存在问题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1680" w:type="dxa"/>
            <w:noWrap/>
            <w:vAlign w:val="center"/>
          </w:tcPr>
          <w:p>
            <w:pPr>
              <w:snapToGrid w:val="0"/>
              <w:jc w:val="center"/>
              <w:rPr>
                <w:rFonts w:ascii="宋体" w:hAnsi="宋体" w:cs="宋体"/>
                <w:szCs w:val="21"/>
              </w:rPr>
            </w:pPr>
            <w:r>
              <w:rPr>
                <w:rFonts w:hint="eastAsia" w:ascii="宋体" w:hAnsi="宋体" w:cs="宋体"/>
                <w:szCs w:val="21"/>
              </w:rPr>
              <w:t>1</w:t>
            </w:r>
          </w:p>
        </w:tc>
        <w:tc>
          <w:tcPr>
            <w:tcW w:w="7219" w:type="dxa"/>
            <w:noWrap/>
            <w:vAlign w:val="center"/>
          </w:tcPr>
          <w:p>
            <w:pPr>
              <w:pStyle w:val="30"/>
              <w:autoSpaceDE w:val="0"/>
              <w:autoSpaceDN w:val="0"/>
              <w:adjustRightInd w:val="0"/>
              <w:snapToGrid w:val="0"/>
              <w:spacing w:line="240" w:lineRule="auto"/>
              <w:ind w:firstLine="0"/>
              <w:rPr>
                <w:rFonts w:ascii="宋体" w:hAnsi="宋体" w:cs="宋体"/>
                <w:sz w:val="21"/>
                <w:szCs w:val="21"/>
              </w:rPr>
            </w:pPr>
            <w:r>
              <w:rPr>
                <w:rFonts w:hint="eastAsia" w:ascii="宋体" w:hAnsi="宋体" w:cs="宋体"/>
                <w:sz w:val="21"/>
                <w:szCs w:val="21"/>
              </w:rPr>
              <w:t>热试台架汽油管线进设备入口处未采用双阀控制。建议采用双阀控制，便于操阀门出现泄漏时及时做截断处理。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1680" w:type="dxa"/>
            <w:noWrap/>
            <w:vAlign w:val="center"/>
          </w:tcPr>
          <w:p>
            <w:pPr>
              <w:snapToGrid w:val="0"/>
              <w:jc w:val="center"/>
              <w:rPr>
                <w:rFonts w:ascii="宋体" w:hAnsi="宋体" w:cs="宋体"/>
                <w:szCs w:val="21"/>
              </w:rPr>
            </w:pPr>
            <w:r>
              <w:rPr>
                <w:rFonts w:hint="eastAsia" w:ascii="宋体" w:hAnsi="宋体" w:cs="宋体"/>
                <w:szCs w:val="21"/>
              </w:rPr>
              <w:t>2</w:t>
            </w:r>
          </w:p>
        </w:tc>
        <w:tc>
          <w:tcPr>
            <w:tcW w:w="7219" w:type="dxa"/>
            <w:noWrap/>
            <w:vAlign w:val="center"/>
          </w:tcPr>
          <w:p>
            <w:pPr>
              <w:pStyle w:val="30"/>
              <w:autoSpaceDE w:val="0"/>
              <w:autoSpaceDN w:val="0"/>
              <w:adjustRightInd w:val="0"/>
              <w:snapToGrid w:val="0"/>
              <w:spacing w:line="240" w:lineRule="auto"/>
              <w:ind w:firstLine="0"/>
              <w:rPr>
                <w:rFonts w:ascii="宋体" w:hAnsi="宋体" w:cs="宋体"/>
                <w:sz w:val="21"/>
                <w:szCs w:val="21"/>
              </w:rPr>
            </w:pPr>
            <w:r>
              <w:rPr>
                <w:rFonts w:hint="eastAsia" w:ascii="宋体" w:hAnsi="宋体" w:cs="宋体"/>
                <w:sz w:val="21"/>
                <w:szCs w:val="21"/>
              </w:rPr>
              <w:t>热试台架汽油管线进设备入口处阀门和管线接头旁设置的电控操作柜属于非防爆型，位于爆炸危险区域内，应搬离火灾爆炸危险区域外。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1680" w:type="dxa"/>
            <w:noWrap/>
            <w:vAlign w:val="center"/>
          </w:tcPr>
          <w:p>
            <w:pPr>
              <w:snapToGrid w:val="0"/>
              <w:jc w:val="center"/>
              <w:rPr>
                <w:rFonts w:ascii="宋体" w:hAnsi="宋体" w:cs="宋体"/>
                <w:szCs w:val="21"/>
              </w:rPr>
            </w:pPr>
            <w:r>
              <w:rPr>
                <w:rFonts w:hint="eastAsia" w:ascii="宋体" w:hAnsi="宋体" w:cs="宋体"/>
                <w:szCs w:val="21"/>
              </w:rPr>
              <w:t>3</w:t>
            </w:r>
          </w:p>
        </w:tc>
        <w:tc>
          <w:tcPr>
            <w:tcW w:w="7219" w:type="dxa"/>
            <w:noWrap/>
            <w:vAlign w:val="center"/>
          </w:tcPr>
          <w:p>
            <w:pPr>
              <w:pStyle w:val="30"/>
              <w:autoSpaceDE w:val="0"/>
              <w:autoSpaceDN w:val="0"/>
              <w:adjustRightInd w:val="0"/>
              <w:snapToGrid w:val="0"/>
              <w:spacing w:line="240" w:lineRule="auto"/>
              <w:ind w:firstLine="0"/>
              <w:rPr>
                <w:rFonts w:ascii="宋体" w:hAnsi="宋体" w:cs="宋体"/>
                <w:sz w:val="21"/>
                <w:szCs w:val="21"/>
              </w:rPr>
            </w:pPr>
            <w:r>
              <w:rPr>
                <w:rFonts w:hint="eastAsia" w:ascii="宋体" w:hAnsi="宋体" w:cs="宋体"/>
                <w:sz w:val="21"/>
                <w:szCs w:val="21"/>
              </w:rPr>
              <w:t>热试台架柜式七氟丙烷气体灭火装置操作按钮未设置在室外。建议设置在台架门口便于操作的地点。</w:t>
            </w:r>
          </w:p>
        </w:tc>
      </w:tr>
    </w:tbl>
    <w:p>
      <w:pPr>
        <w:snapToGrid w:val="0"/>
        <w:rPr>
          <w:sz w:val="15"/>
          <w:szCs w:val="18"/>
        </w:rPr>
      </w:pPr>
    </w:p>
    <w:p>
      <w:pPr>
        <w:pStyle w:val="4"/>
        <w:keepNext w:val="0"/>
        <w:keepLines w:val="0"/>
        <w:snapToGrid w:val="0"/>
        <w:spacing w:before="0" w:after="0" w:line="360" w:lineRule="auto"/>
        <w:jc w:val="left"/>
        <w:rPr>
          <w:rFonts w:ascii="宋体" w:hAnsi="宋体" w:cs="宋体"/>
          <w:snapToGrid/>
          <w:kern w:val="2"/>
        </w:rPr>
      </w:pPr>
      <w:bookmarkStart w:id="616" w:name="_Toc10486"/>
      <w:r>
        <w:rPr>
          <w:rFonts w:hint="eastAsia" w:ascii="宋体" w:hAnsi="宋体" w:cs="宋体"/>
          <w:snapToGrid/>
          <w:kern w:val="2"/>
        </w:rPr>
        <w:t>6.2</w:t>
      </w:r>
      <w:r>
        <w:rPr>
          <w:rFonts w:hint="eastAsia" w:ascii="宋体" w:hAnsi="宋体" w:cs="宋体"/>
          <w:snapToGrid/>
          <w:kern w:val="2"/>
          <w:lang w:val="en-US" w:eastAsia="zh-CN"/>
        </w:rPr>
        <w:t xml:space="preserve"> </w:t>
      </w:r>
      <w:r>
        <w:rPr>
          <w:rFonts w:hint="eastAsia" w:ascii="宋体" w:hAnsi="宋体" w:cs="宋体"/>
          <w:snapToGrid/>
          <w:kern w:val="2"/>
        </w:rPr>
        <w:t>安全对策措施建议</w:t>
      </w:r>
      <w:bookmarkEnd w:id="610"/>
      <w:bookmarkEnd w:id="611"/>
      <w:bookmarkEnd w:id="612"/>
      <w:bookmarkEnd w:id="613"/>
      <w:bookmarkEnd w:id="614"/>
      <w:bookmarkEnd w:id="615"/>
      <w:bookmarkEnd w:id="616"/>
    </w:p>
    <w:bookmarkEnd w:id="504"/>
    <w:p>
      <w:pPr>
        <w:numPr>
          <w:ilvl w:val="0"/>
          <w:numId w:val="19"/>
        </w:numPr>
        <w:adjustRightInd w:val="0"/>
        <w:snapToGrid w:val="0"/>
        <w:spacing w:line="360" w:lineRule="auto"/>
        <w:ind w:left="0" w:leftChars="0" w:firstLine="400" w:firstLineChars="0"/>
        <w:rPr>
          <w:snapToGrid w:val="0"/>
          <w:kern w:val="0"/>
          <w:sz w:val="28"/>
          <w:szCs w:val="28"/>
          <w:lang w:val="zh-CN"/>
        </w:rPr>
      </w:pPr>
      <w:r>
        <w:rPr>
          <w:rFonts w:hint="eastAsia"/>
          <w:snapToGrid w:val="0"/>
          <w:kern w:val="0"/>
          <w:sz w:val="28"/>
          <w:szCs w:val="28"/>
        </w:rPr>
        <w:t>建议</w:t>
      </w:r>
      <w:r>
        <w:rPr>
          <w:rFonts w:hint="eastAsia"/>
          <w:snapToGrid w:val="0"/>
          <w:kern w:val="0"/>
          <w:sz w:val="28"/>
          <w:szCs w:val="28"/>
          <w:lang w:val="zh-CN"/>
        </w:rPr>
        <w:t>企业必须定期进行防雷防静电检测。</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建议检修作业人员上岗前应针对操作规程进行培训，避免气焊（割）作业中操作不当其他燃烧和爆炸。</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建议对厂区内消防设施定期进行维护或更换，避免发生事故时无法正常使用。</w:t>
      </w:r>
    </w:p>
    <w:p>
      <w:pPr>
        <w:numPr>
          <w:ilvl w:val="0"/>
          <w:numId w:val="19"/>
        </w:numPr>
        <w:adjustRightInd w:val="0"/>
        <w:snapToGrid w:val="0"/>
        <w:spacing w:line="360" w:lineRule="auto"/>
        <w:ind w:left="0" w:leftChars="0" w:firstLine="400" w:firstLineChars="0"/>
        <w:rPr>
          <w:snapToGrid w:val="0"/>
          <w:kern w:val="0"/>
          <w:sz w:val="28"/>
          <w:szCs w:val="28"/>
          <w:lang w:val="zh-CN"/>
        </w:rPr>
      </w:pPr>
      <w:r>
        <w:rPr>
          <w:rFonts w:hint="eastAsia"/>
          <w:snapToGrid w:val="0"/>
          <w:kern w:val="0"/>
          <w:sz w:val="28"/>
          <w:szCs w:val="28"/>
          <w:lang w:val="zh-CN"/>
        </w:rPr>
        <w:t>油漆、稀释剂储存过程中</w:t>
      </w:r>
      <w:r>
        <w:rPr>
          <w:rFonts w:hint="eastAsia"/>
          <w:snapToGrid w:val="0"/>
          <w:kern w:val="0"/>
          <w:sz w:val="28"/>
          <w:szCs w:val="28"/>
        </w:rPr>
        <w:t>可能</w:t>
      </w:r>
      <w:r>
        <w:rPr>
          <w:rFonts w:hint="eastAsia"/>
          <w:snapToGrid w:val="0"/>
          <w:kern w:val="0"/>
          <w:sz w:val="28"/>
          <w:szCs w:val="28"/>
          <w:lang w:val="zh-CN"/>
        </w:rPr>
        <w:t>发生泄漏，</w:t>
      </w:r>
      <w:r>
        <w:rPr>
          <w:rFonts w:hint="eastAsia"/>
          <w:snapToGrid w:val="0"/>
          <w:kern w:val="0"/>
          <w:sz w:val="28"/>
          <w:szCs w:val="28"/>
        </w:rPr>
        <w:t>建议</w:t>
      </w:r>
      <w:r>
        <w:rPr>
          <w:rFonts w:hint="eastAsia"/>
          <w:snapToGrid w:val="0"/>
          <w:kern w:val="0"/>
          <w:sz w:val="28"/>
          <w:szCs w:val="28"/>
          <w:lang w:val="zh-CN"/>
        </w:rPr>
        <w:t>仓库</w:t>
      </w:r>
      <w:r>
        <w:rPr>
          <w:rFonts w:hint="eastAsia"/>
          <w:snapToGrid w:val="0"/>
          <w:kern w:val="0"/>
          <w:sz w:val="28"/>
          <w:szCs w:val="28"/>
        </w:rPr>
        <w:t>保持良好</w:t>
      </w:r>
      <w:r>
        <w:rPr>
          <w:rFonts w:hint="eastAsia"/>
          <w:snapToGrid w:val="0"/>
          <w:kern w:val="0"/>
          <w:sz w:val="28"/>
          <w:szCs w:val="28"/>
          <w:lang w:val="zh-CN"/>
        </w:rPr>
        <w:t>通风。</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督促作业人员按规定要求使用劳动防护用品，严格执行安全操作规程，杜绝违章作业。</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进入有限空</w:t>
      </w:r>
      <w:r>
        <w:rPr>
          <w:rFonts w:hint="eastAsia"/>
          <w:snapToGrid w:val="0"/>
          <w:color w:val="auto"/>
          <w:kern w:val="0"/>
          <w:sz w:val="28"/>
          <w:szCs w:val="28"/>
        </w:rPr>
        <w:t>间作业时，应严格遵守《有限空间作业安全技术规范</w:t>
      </w:r>
      <w:r>
        <w:rPr>
          <w:rFonts w:hint="eastAsia"/>
          <w:snapToGrid w:val="0"/>
          <w:color w:val="auto"/>
          <w:kern w:val="0"/>
          <w:sz w:val="28"/>
          <w:szCs w:val="28"/>
          <w:lang w:eastAsia="zh-CN"/>
        </w:rPr>
        <w:t>》（</w:t>
      </w:r>
      <w:r>
        <w:rPr>
          <w:rFonts w:hint="eastAsia"/>
          <w:snapToGrid w:val="0"/>
          <w:color w:val="auto"/>
          <w:kern w:val="0"/>
          <w:sz w:val="28"/>
          <w:szCs w:val="28"/>
        </w:rPr>
        <w:t>DB11/T 852—2019</w:t>
      </w:r>
      <w:r>
        <w:rPr>
          <w:rFonts w:hint="eastAsia"/>
          <w:snapToGrid w:val="0"/>
          <w:color w:val="auto"/>
          <w:kern w:val="0"/>
          <w:sz w:val="28"/>
          <w:szCs w:val="28"/>
          <w:lang w:eastAsia="zh-CN"/>
        </w:rPr>
        <w:t>）</w:t>
      </w:r>
      <w:r>
        <w:rPr>
          <w:rFonts w:hint="eastAsia"/>
          <w:snapToGrid w:val="0"/>
          <w:kern w:val="0"/>
          <w:sz w:val="28"/>
          <w:szCs w:val="28"/>
        </w:rPr>
        <w:t>的要求作业。</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建议定期对绝缘工具、绝缘手套、绝缘鞋等强制检测设施进行检测。</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建议检修、停用设备应断电挂“禁止合闸”的安全警示牌。</w:t>
      </w:r>
    </w:p>
    <w:p>
      <w:pPr>
        <w:numPr>
          <w:ilvl w:val="0"/>
          <w:numId w:val="19"/>
        </w:numPr>
        <w:adjustRightInd w:val="0"/>
        <w:snapToGrid w:val="0"/>
        <w:spacing w:line="360" w:lineRule="auto"/>
        <w:ind w:left="0" w:leftChars="0" w:firstLine="400" w:firstLineChars="0"/>
        <w:rPr>
          <w:snapToGrid w:val="0"/>
          <w:kern w:val="0"/>
          <w:sz w:val="28"/>
          <w:szCs w:val="28"/>
        </w:rPr>
      </w:pPr>
      <w:bookmarkStart w:id="617" w:name="_Toc9148329"/>
      <w:r>
        <w:rPr>
          <w:rFonts w:hint="eastAsia"/>
          <w:snapToGrid w:val="0"/>
          <w:kern w:val="0"/>
          <w:sz w:val="28"/>
          <w:szCs w:val="28"/>
        </w:rPr>
        <w:t>高处作业必须制定严格的作业规程，采取相应的许可证制度，作业过程中有专人监护和采取相应的防范措施。</w:t>
      </w:r>
    </w:p>
    <w:p>
      <w:pPr>
        <w:numPr>
          <w:ilvl w:val="0"/>
          <w:numId w:val="19"/>
        </w:numPr>
        <w:adjustRightInd w:val="0"/>
        <w:snapToGrid w:val="0"/>
        <w:spacing w:line="360" w:lineRule="auto"/>
        <w:ind w:left="0" w:leftChars="0" w:firstLine="400" w:firstLineChars="0"/>
        <w:rPr>
          <w:snapToGrid w:val="0"/>
          <w:kern w:val="0"/>
          <w:sz w:val="28"/>
          <w:szCs w:val="28"/>
        </w:rPr>
      </w:pPr>
      <w:bookmarkStart w:id="618" w:name="_Toc10250"/>
      <w:bookmarkStart w:id="619" w:name="_Toc487575228"/>
      <w:bookmarkStart w:id="620" w:name="_Toc231615870"/>
      <w:bookmarkStart w:id="621" w:name="_Toc29465"/>
      <w:bookmarkStart w:id="622" w:name="_Toc77748736"/>
      <w:bookmarkStart w:id="623" w:name="_Toc199784604"/>
      <w:bookmarkStart w:id="624" w:name="_Toc199264941"/>
      <w:r>
        <w:rPr>
          <w:rFonts w:hint="eastAsia"/>
          <w:snapToGrid w:val="0"/>
          <w:kern w:val="0"/>
          <w:sz w:val="28"/>
          <w:szCs w:val="28"/>
        </w:rPr>
        <w:t>依据《生产经营单位生产安全事故应急预案编制导则》（GB/T29639-2020）和《生产安全事故应急预案管理办法》（原国家安监总局令第88号，中华人民共和国应急管理部令第2号修订），企业应及时修订生产安全事故应急救援预案并组织演练。</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生产经营单位应急预案应当包括向上级应急管理机构报告的内容、应急组织机构和人员的联系方式、应急物资储备清单等附件信息。附件信息发生变化时，应当及时更新，确保准确有效。生产经营单位应当在应急预案公布之日起20个工作日内，按照分级属地原则，向应急管理部门和有关部门进行告知性备案。</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企业应为从业人员配备相应的防护用品，并在作业现场设置事故应急救援柜，应急器材的配置应满足各工艺特点和危险物料的要求。</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生产经营单位应按照本单位的职业性危害因素，为作业人员购置、配备、发放具有相应防护功能的个体防护装备，且装备本身不应导致任何其他额外的风险。</w:t>
      </w:r>
    </w:p>
    <w:bookmarkEnd w:id="618"/>
    <w:bookmarkEnd w:id="619"/>
    <w:bookmarkEnd w:id="620"/>
    <w:bookmarkEnd w:id="621"/>
    <w:bookmarkEnd w:id="622"/>
    <w:bookmarkEnd w:id="623"/>
    <w:bookmarkEnd w:id="624"/>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加强人员培训，安全管理人员、特种作业人员均应经相关部门培训合格，持证上岗。</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加强对新职工的安全教育、专业培训，新进人员必须经过严格的三级安全教育和专业培训，并经考试合格后方可上岗。对转岗、复工人员应参照新职工的办法进行培训和考试。对职工每年至少进行两次安全技术培训和考核。</w:t>
      </w:r>
    </w:p>
    <w:p>
      <w:pPr>
        <w:numPr>
          <w:ilvl w:val="0"/>
          <w:numId w:val="19"/>
        </w:numPr>
        <w:adjustRightInd w:val="0"/>
        <w:snapToGrid w:val="0"/>
        <w:spacing w:line="360" w:lineRule="auto"/>
        <w:ind w:left="0" w:leftChars="0" w:firstLine="400" w:firstLineChars="0"/>
        <w:rPr>
          <w:snapToGrid w:val="0"/>
          <w:kern w:val="0"/>
          <w:sz w:val="28"/>
          <w:szCs w:val="28"/>
        </w:rPr>
      </w:pPr>
      <w:r>
        <w:rPr>
          <w:rFonts w:hint="eastAsia"/>
          <w:snapToGrid w:val="0"/>
          <w:kern w:val="0"/>
          <w:sz w:val="28"/>
          <w:szCs w:val="28"/>
        </w:rPr>
        <w:t>检修作业应严格办理安全检修交接手续，严格执行相关制度，办理许可证（票），严格履行审批手续，落实安全措施。</w:t>
      </w:r>
    </w:p>
    <w:bookmarkEnd w:id="617"/>
    <w:p>
      <w:pPr>
        <w:numPr>
          <w:ilvl w:val="0"/>
          <w:numId w:val="19"/>
        </w:numPr>
        <w:adjustRightInd w:val="0"/>
        <w:snapToGrid w:val="0"/>
        <w:spacing w:line="360" w:lineRule="auto"/>
        <w:ind w:left="0" w:leftChars="0" w:firstLine="400" w:firstLineChars="0"/>
        <w:rPr>
          <w:rFonts w:ascii="宋体" w:hAnsi="宋体" w:cs="宋体"/>
          <w:sz w:val="36"/>
          <w:szCs w:val="36"/>
        </w:rPr>
      </w:pPr>
      <w:r>
        <w:rPr>
          <w:rFonts w:hint="eastAsia"/>
          <w:snapToGrid w:val="0"/>
          <w:kern w:val="0"/>
          <w:sz w:val="28"/>
          <w:szCs w:val="28"/>
        </w:rPr>
        <w:t>建议企业根据财政部 应急部 关于印发《企业安全生产费用提取和使用管理办法》的通知（财资〔2022〕136号）第三十条 机械制造企业以上一年度营业收入为依据，采取超额累退方式确定本年度应计提金额，并逐月平均提取安全生产费用。</w:t>
      </w:r>
      <w:bookmarkStart w:id="625" w:name="_Toc25134"/>
      <w:r>
        <w:rPr>
          <w:rFonts w:hint="eastAsia" w:ascii="宋体" w:hAnsi="宋体" w:cs="宋体"/>
          <w:sz w:val="36"/>
          <w:szCs w:val="36"/>
        </w:rPr>
        <w:br w:type="page"/>
      </w:r>
    </w:p>
    <w:p>
      <w:pPr>
        <w:pStyle w:val="3"/>
        <w:rPr>
          <w:rFonts w:ascii="宋体" w:hAnsi="宋体" w:cs="宋体"/>
          <w:sz w:val="36"/>
          <w:szCs w:val="36"/>
        </w:rPr>
      </w:pPr>
      <w:bookmarkStart w:id="626" w:name="_Toc22080"/>
      <w:r>
        <w:rPr>
          <w:rFonts w:hint="eastAsia" w:ascii="宋体" w:hAnsi="宋体" w:cs="宋体"/>
          <w:sz w:val="36"/>
          <w:szCs w:val="36"/>
        </w:rPr>
        <w:t>7 安全验收评价结论</w:t>
      </w:r>
      <w:bookmarkEnd w:id="625"/>
      <w:bookmarkEnd w:id="626"/>
    </w:p>
    <w:p>
      <w:pPr>
        <w:pStyle w:val="4"/>
        <w:keepNext w:val="0"/>
        <w:keepLines w:val="0"/>
        <w:snapToGrid w:val="0"/>
        <w:spacing w:before="0" w:after="0" w:line="360" w:lineRule="auto"/>
        <w:jc w:val="left"/>
        <w:rPr>
          <w:rFonts w:ascii="宋体" w:hAnsi="宋体" w:cs="宋体"/>
          <w:snapToGrid/>
          <w:kern w:val="2"/>
        </w:rPr>
      </w:pPr>
      <w:bookmarkStart w:id="627" w:name="_Toc29569"/>
      <w:bookmarkStart w:id="628" w:name="_Toc27123"/>
      <w:r>
        <w:rPr>
          <w:rFonts w:hint="eastAsia" w:ascii="宋体" w:hAnsi="宋体" w:cs="宋体"/>
          <w:snapToGrid/>
          <w:kern w:val="2"/>
        </w:rPr>
        <w:t>7.1</w:t>
      </w:r>
      <w:r>
        <w:rPr>
          <w:rFonts w:hint="eastAsia" w:ascii="宋体" w:hAnsi="宋体" w:cs="宋体"/>
          <w:snapToGrid/>
          <w:kern w:val="2"/>
          <w:lang w:val="en-US" w:eastAsia="zh-CN"/>
        </w:rPr>
        <w:t xml:space="preserve"> </w:t>
      </w:r>
      <w:r>
        <w:rPr>
          <w:rFonts w:hint="eastAsia" w:ascii="宋体" w:hAnsi="宋体" w:cs="宋体"/>
          <w:snapToGrid/>
          <w:kern w:val="2"/>
        </w:rPr>
        <w:t>评价综述</w:t>
      </w:r>
      <w:bookmarkEnd w:id="627"/>
      <w:bookmarkEnd w:id="628"/>
    </w:p>
    <w:p>
      <w:pPr>
        <w:snapToGrid w:val="0"/>
        <w:spacing w:line="360" w:lineRule="auto"/>
        <w:ind w:firstLine="560" w:firstLineChars="200"/>
        <w:rPr>
          <w:rFonts w:ascii="宋体" w:hAnsi="宋体"/>
          <w:sz w:val="28"/>
        </w:rPr>
      </w:pPr>
      <w:r>
        <w:rPr>
          <w:rFonts w:hint="eastAsia" w:ascii="宋体" w:hAnsi="宋体"/>
          <w:sz w:val="28"/>
        </w:rPr>
        <w:t>昆明云内动力股份有限公司G系列节能环保轻型商用车汽油机产业化建设项目生产过程中存在的主要危险物质为氧气、乙炔、柴油、油漆；主要存在的固有危险有害因素按《企业职工伤亡事故分类标准》来分有</w:t>
      </w:r>
      <w:r>
        <w:rPr>
          <w:rFonts w:hint="eastAsia"/>
          <w:snapToGrid w:val="0"/>
          <w:kern w:val="0"/>
          <w:sz w:val="28"/>
          <w:szCs w:val="28"/>
        </w:rPr>
        <w:t>火灾爆炸、中毒窒息、机械伤害、车辆伤害、触电、物体打击、高处坠落、雷电危害、坍塌、淹溺</w:t>
      </w:r>
      <w:r>
        <w:rPr>
          <w:rFonts w:hint="eastAsia" w:ascii="宋体" w:hAnsi="宋体"/>
          <w:sz w:val="28"/>
        </w:rPr>
        <w:t>等。</w:t>
      </w:r>
    </w:p>
    <w:p>
      <w:pPr>
        <w:snapToGrid w:val="0"/>
        <w:spacing w:line="360" w:lineRule="auto"/>
        <w:ind w:firstLine="560" w:firstLineChars="200"/>
        <w:rPr>
          <w:rFonts w:ascii="宋体" w:hAnsi="宋体"/>
          <w:sz w:val="28"/>
        </w:rPr>
      </w:pPr>
      <w:r>
        <w:rPr>
          <w:rFonts w:hint="eastAsia" w:ascii="宋体" w:hAnsi="宋体"/>
          <w:sz w:val="28"/>
        </w:rPr>
        <w:t>存在的职业危害主要有噪声危害等。</w:t>
      </w:r>
    </w:p>
    <w:p>
      <w:pPr>
        <w:snapToGrid w:val="0"/>
        <w:spacing w:line="360" w:lineRule="auto"/>
        <w:ind w:firstLine="560" w:firstLineChars="200"/>
        <w:rPr>
          <w:rFonts w:ascii="宋体" w:hAnsi="宋体"/>
          <w:sz w:val="28"/>
          <w:szCs w:val="28"/>
        </w:rPr>
      </w:pPr>
      <w:r>
        <w:rPr>
          <w:rFonts w:hint="eastAsia" w:ascii="宋体" w:hAnsi="宋体"/>
          <w:sz w:val="28"/>
        </w:rPr>
        <w:t>从已经运行多年的类似生产装置、设备所发生事故情况来看，</w:t>
      </w:r>
      <w:r>
        <w:rPr>
          <w:rFonts w:hint="eastAsia" w:ascii="宋体" w:hAnsi="宋体"/>
          <w:sz w:val="28"/>
          <w:szCs w:val="28"/>
        </w:rPr>
        <w:t>应重点防范的危险有害因素有：火灾爆炸、机械伤害、中毒窒息等。</w:t>
      </w:r>
    </w:p>
    <w:p>
      <w:pPr>
        <w:snapToGrid w:val="0"/>
        <w:spacing w:line="360" w:lineRule="auto"/>
        <w:ind w:firstLine="560" w:firstLineChars="200"/>
        <w:rPr>
          <w:rFonts w:ascii="宋体" w:hAnsi="宋体"/>
          <w:sz w:val="28"/>
        </w:rPr>
      </w:pPr>
      <w:r>
        <w:rPr>
          <w:rFonts w:hint="eastAsia" w:ascii="宋体" w:hAnsi="宋体"/>
          <w:sz w:val="28"/>
        </w:rPr>
        <w:t>在这些危险有害因素中，如果发生火灾爆炸事故及中毒窒息对安全生产影响最大。</w:t>
      </w:r>
    </w:p>
    <w:p>
      <w:pPr>
        <w:snapToGrid w:val="0"/>
        <w:spacing w:line="360" w:lineRule="auto"/>
        <w:ind w:firstLine="560" w:firstLineChars="200"/>
        <w:rPr>
          <w:rFonts w:ascii="宋体" w:hAnsi="宋体"/>
          <w:sz w:val="28"/>
        </w:rPr>
      </w:pPr>
      <w:r>
        <w:rPr>
          <w:rFonts w:hint="eastAsia" w:ascii="宋体" w:hAnsi="宋体"/>
          <w:sz w:val="28"/>
        </w:rPr>
        <w:t>本项目的危险化学品不构成重大危险源。</w:t>
      </w:r>
    </w:p>
    <w:p>
      <w:pPr>
        <w:pStyle w:val="4"/>
        <w:keepNext w:val="0"/>
        <w:keepLines w:val="0"/>
        <w:snapToGrid w:val="0"/>
        <w:spacing w:before="0" w:after="0" w:line="360" w:lineRule="auto"/>
        <w:jc w:val="left"/>
        <w:rPr>
          <w:rFonts w:ascii="宋体" w:hAnsi="宋体" w:cs="宋体"/>
          <w:snapToGrid/>
          <w:kern w:val="2"/>
        </w:rPr>
      </w:pPr>
      <w:bookmarkStart w:id="629" w:name="_Toc21075"/>
      <w:bookmarkStart w:id="630" w:name="_Toc535"/>
      <w:bookmarkStart w:id="635" w:name="_GoBack"/>
      <w:bookmarkEnd w:id="635"/>
      <w:r>
        <w:rPr>
          <w:rFonts w:hint="eastAsia" w:ascii="宋体" w:hAnsi="宋体" w:cs="宋体"/>
          <w:snapToGrid/>
          <w:kern w:val="2"/>
        </w:rPr>
        <w:t>7.2 总体评价结论</w:t>
      </w:r>
      <w:bookmarkEnd w:id="629"/>
      <w:bookmarkEnd w:id="630"/>
    </w:p>
    <w:p>
      <w:pPr>
        <w:snapToGrid w:val="0"/>
        <w:spacing w:line="360" w:lineRule="auto"/>
        <w:ind w:firstLine="560" w:firstLineChars="200"/>
        <w:rPr>
          <w:rFonts w:ascii="宋体" w:hAnsi="宋体"/>
          <w:sz w:val="28"/>
        </w:rPr>
      </w:pPr>
      <w:r>
        <w:rPr>
          <w:rFonts w:hint="eastAsia" w:ascii="宋体" w:hAnsi="宋体"/>
          <w:sz w:val="28"/>
        </w:rPr>
        <w:t>1.该项目安全设施已按设计要求全部建设完成，安全设施做到了与主体工程同时设计、同时施工、同时投入生产和使用，符合“三同时”要求。</w:t>
      </w:r>
    </w:p>
    <w:p>
      <w:pPr>
        <w:snapToGrid w:val="0"/>
        <w:spacing w:line="360" w:lineRule="auto"/>
        <w:ind w:firstLine="560" w:firstLineChars="200"/>
        <w:rPr>
          <w:rFonts w:ascii="宋体" w:hAnsi="宋体"/>
          <w:sz w:val="28"/>
        </w:rPr>
      </w:pPr>
      <w:r>
        <w:rPr>
          <w:rFonts w:hint="eastAsia" w:ascii="宋体" w:hAnsi="宋体"/>
          <w:sz w:val="28"/>
        </w:rPr>
        <w:t>2.项目厂址符合《工业企业总平面设计规范》（GB50187-2012）、《建筑设计防火规范》（GB50016-2014，2018年版）等标准、规范的规定和要求。</w:t>
      </w:r>
    </w:p>
    <w:p>
      <w:pPr>
        <w:snapToGrid w:val="0"/>
        <w:spacing w:line="360" w:lineRule="auto"/>
        <w:ind w:firstLine="560" w:firstLineChars="200"/>
        <w:rPr>
          <w:rFonts w:ascii="宋体" w:hAnsi="宋体"/>
          <w:sz w:val="28"/>
        </w:rPr>
      </w:pPr>
      <w:r>
        <w:rPr>
          <w:rFonts w:hint="eastAsia" w:ascii="宋体" w:hAnsi="宋体"/>
          <w:sz w:val="28"/>
        </w:rPr>
        <w:t>3.本项目总平面布置功能区域划分明确，布置紧凑，建构筑物和设备设施的布置满足防火间距的要求；安全出口和安全通道、消防通道的设置符合标准要求；总平面布置满足工艺流程顺畅、物料运输距离短等总平面布置的原则。本项目总平面布置符合《建筑设计防火规范》（GB50016-2014，2018年版）、《工业企业总平面设计规范》（GB50187-2012）、《生产过程安全卫生要求总则》（GB/T12801-2008）、《工业企业设计卫生标准》（GBZ1-2010）、《机械工程建设项目职业安全卫生设计规范》（GB51155-2016）、机械制造《企业安全生产标准化规范》（AQT7009-2013）、《机械工程建设项目职业安全卫生设计规范》（GB51155-2016）等标准、规范的规定和要求。</w:t>
      </w:r>
    </w:p>
    <w:p>
      <w:pPr>
        <w:snapToGrid w:val="0"/>
        <w:spacing w:line="360" w:lineRule="auto"/>
        <w:ind w:firstLine="560" w:firstLineChars="200"/>
        <w:rPr>
          <w:rFonts w:ascii="宋体" w:hAnsi="宋体"/>
          <w:sz w:val="28"/>
        </w:rPr>
      </w:pPr>
      <w:r>
        <w:rPr>
          <w:rFonts w:hint="eastAsia" w:ascii="宋体" w:hAnsi="宋体"/>
          <w:sz w:val="28"/>
        </w:rPr>
        <w:t>4.项目外部安全条件较好，与周边环境的相互影响较小；自然条件对安全生产的影响较小。</w:t>
      </w:r>
    </w:p>
    <w:p>
      <w:pPr>
        <w:snapToGrid w:val="0"/>
        <w:spacing w:line="360" w:lineRule="auto"/>
        <w:ind w:firstLine="560" w:firstLineChars="200"/>
        <w:rPr>
          <w:rFonts w:ascii="宋体" w:hAnsi="宋体"/>
          <w:sz w:val="28"/>
        </w:rPr>
      </w:pPr>
      <w:r>
        <w:rPr>
          <w:rFonts w:hint="eastAsia" w:ascii="宋体" w:hAnsi="宋体"/>
          <w:sz w:val="28"/>
        </w:rPr>
        <w:t>5.项目采用的技术、工艺成熟，各装置、设备、设施在试运行中正常，经达产达标验收各项工艺技术指标符合设计要求。</w:t>
      </w:r>
    </w:p>
    <w:p>
      <w:pPr>
        <w:snapToGrid w:val="0"/>
        <w:spacing w:line="360" w:lineRule="auto"/>
        <w:ind w:firstLine="560" w:firstLineChars="200"/>
        <w:rPr>
          <w:rFonts w:ascii="宋体" w:hAnsi="宋体"/>
          <w:sz w:val="28"/>
        </w:rPr>
      </w:pPr>
      <w:r>
        <w:rPr>
          <w:rFonts w:hint="eastAsia" w:ascii="宋体" w:hAnsi="宋体"/>
          <w:sz w:val="28"/>
        </w:rPr>
        <w:t>6.该项目安全设施的设计、评价相关单位均具备相关资质；相关施工、验收等建设文件齐全；配置的安全设施符合有关规范的要求，相关设备设施的施工质量符合相关标准要求，能够满足安全生产的需要。</w:t>
      </w:r>
    </w:p>
    <w:p>
      <w:pPr>
        <w:snapToGrid w:val="0"/>
        <w:spacing w:line="360" w:lineRule="auto"/>
        <w:ind w:firstLine="560" w:firstLineChars="200"/>
        <w:rPr>
          <w:rFonts w:ascii="宋体" w:hAnsi="宋体"/>
          <w:sz w:val="28"/>
        </w:rPr>
      </w:pPr>
      <w:r>
        <w:rPr>
          <w:rFonts w:hint="eastAsia" w:ascii="宋体" w:hAnsi="宋体"/>
          <w:sz w:val="28"/>
        </w:rPr>
        <w:t>7.该公司成立了安全生产委员会，由环境安全管理部负责日常的安全管理，各职能部门任命了兼职安全员，形成了三级安全管理网络。该公司制定了相应的安全管理规章制度和安全操作规程，并能得到有效落实。</w:t>
      </w:r>
    </w:p>
    <w:p>
      <w:pPr>
        <w:snapToGrid w:val="0"/>
        <w:spacing w:line="360" w:lineRule="auto"/>
        <w:ind w:firstLine="560" w:firstLineChars="200"/>
        <w:rPr>
          <w:rFonts w:ascii="宋体" w:hAnsi="宋体"/>
          <w:sz w:val="28"/>
        </w:rPr>
      </w:pPr>
      <w:r>
        <w:rPr>
          <w:rFonts w:hint="eastAsia" w:ascii="宋体" w:hAnsi="宋体"/>
          <w:sz w:val="28"/>
        </w:rPr>
        <w:t>8.主要负责人、安全生产管理人员均取得安全生产知识和管理能力考核合格证，具有相应的知识和能力。操作人员均经培训合格后上岗；该公司为在职员工购买了工伤保险。</w:t>
      </w:r>
    </w:p>
    <w:p>
      <w:pPr>
        <w:snapToGrid w:val="0"/>
        <w:spacing w:line="360" w:lineRule="auto"/>
        <w:ind w:firstLine="560" w:firstLineChars="200"/>
        <w:rPr>
          <w:rFonts w:ascii="宋体" w:hAnsi="宋体"/>
          <w:sz w:val="28"/>
        </w:rPr>
      </w:pPr>
      <w:r>
        <w:rPr>
          <w:rFonts w:hint="eastAsia" w:ascii="宋体" w:hAnsi="宋体"/>
          <w:sz w:val="28"/>
        </w:rPr>
        <w:t>9.该公司编制了事故应急救援预案；有应急救援组织机构和救援队伍，配置了应急救援器材，并组织进行了演练，能满足应急救援的相关要求。</w:t>
      </w:r>
    </w:p>
    <w:p>
      <w:pPr>
        <w:snapToGrid w:val="0"/>
        <w:spacing w:line="360" w:lineRule="auto"/>
        <w:ind w:firstLine="560" w:firstLineChars="200"/>
        <w:rPr>
          <w:rFonts w:ascii="宋体" w:hAnsi="宋体"/>
          <w:sz w:val="28"/>
        </w:rPr>
      </w:pPr>
      <w:r>
        <w:rPr>
          <w:rFonts w:hint="eastAsia" w:ascii="宋体" w:hAnsi="宋体"/>
          <w:sz w:val="28"/>
        </w:rPr>
        <w:t>总体评价结论为：</w:t>
      </w:r>
      <w:r>
        <w:rPr>
          <w:rFonts w:hint="eastAsia" w:ascii="宋体" w:hAnsi="宋体"/>
          <w:b/>
          <w:bCs/>
          <w:sz w:val="28"/>
        </w:rPr>
        <w:t>昆明云内动力股份有限公司G系列节能环保轻型商用车汽油机产业化建设项目符合国家有关安全方面的法律、法规、标准、规程、规章的有关要求，具备安全验收条件。</w:t>
      </w:r>
    </w:p>
    <w:p>
      <w:pPr>
        <w:snapToGrid w:val="0"/>
        <w:spacing w:line="360" w:lineRule="auto"/>
        <w:ind w:firstLine="560" w:firstLineChars="200"/>
        <w:rPr>
          <w:rFonts w:ascii="宋体" w:hAnsi="宋体"/>
          <w:sz w:val="28"/>
        </w:rPr>
      </w:pPr>
      <w:r>
        <w:rPr>
          <w:rFonts w:hint="eastAsia" w:ascii="宋体" w:hAnsi="宋体"/>
          <w:sz w:val="28"/>
        </w:rPr>
        <w:t>企业生产是一个动态的过程，企业在今后的生产过程中应根据生产条件的变化，把安全管理工作贯穿于生产的全过程，不断完善企业安全管理，依靠科技进步提升安全技术水平，防止安全事故的发生，实现本质化安全，切实保障人民生命和财产的安全。</w:t>
      </w:r>
    </w:p>
    <w:p>
      <w:pPr>
        <w:pStyle w:val="51"/>
        <w:ind w:firstLine="560"/>
        <w:rPr>
          <w:rFonts w:ascii="宋体" w:hAnsi="宋体"/>
          <w:sz w:val="28"/>
        </w:rPr>
      </w:pPr>
    </w:p>
    <w:p>
      <w:pPr>
        <w:pStyle w:val="3"/>
        <w:rPr>
          <w:rFonts w:hint="eastAsia" w:ascii="宋体" w:hAnsi="宋体" w:eastAsia="宋体" w:cs="宋体"/>
          <w:sz w:val="36"/>
          <w:szCs w:val="36"/>
        </w:rPr>
      </w:pPr>
      <w:bookmarkStart w:id="631" w:name="_Toc3617"/>
      <w:bookmarkStart w:id="632" w:name="_Toc6168"/>
      <w:bookmarkStart w:id="633" w:name="_Toc14313"/>
      <w:bookmarkStart w:id="634" w:name="_Toc16911"/>
      <w:r>
        <w:rPr>
          <w:rFonts w:hint="eastAsia" w:ascii="宋体" w:hAnsi="宋体" w:eastAsia="宋体" w:cs="宋体"/>
          <w:sz w:val="36"/>
          <w:szCs w:val="36"/>
          <w:lang w:val="en-US" w:eastAsia="zh-CN"/>
        </w:rPr>
        <w:t>8</w:t>
      </w:r>
      <w:r>
        <w:rPr>
          <w:rFonts w:hint="eastAsia" w:ascii="宋体" w:hAnsi="宋体" w:eastAsia="宋体" w:cs="宋体"/>
          <w:sz w:val="36"/>
          <w:szCs w:val="36"/>
        </w:rPr>
        <w:t xml:space="preserve"> </w:t>
      </w:r>
      <w:r>
        <w:rPr>
          <w:rFonts w:hint="eastAsia" w:ascii="宋体" w:hAnsi="宋体" w:eastAsia="宋体" w:cs="宋体"/>
          <w:sz w:val="36"/>
          <w:szCs w:val="36"/>
          <w:lang w:val="en-US" w:eastAsia="zh-CN"/>
        </w:rPr>
        <w:t>与建设单位交换的意见</w:t>
      </w:r>
      <w:bookmarkEnd w:id="631"/>
      <w:bookmarkEnd w:id="63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Times New Roman"/>
          <w:sz w:val="28"/>
          <w:lang w:val="en-US" w:eastAsia="zh-CN"/>
        </w:rPr>
        <w:t>对该项目现场存在的问题、今后生产过程中可能存在的问题以及评价组提出的对应整改建议，评价组与企业进行了交换意见，</w:t>
      </w:r>
      <w:r>
        <w:rPr>
          <w:rFonts w:hint="eastAsia" w:ascii="宋体" w:hAnsi="宋体" w:eastAsia="宋体" w:cs="宋体"/>
          <w:color w:val="auto"/>
          <w:sz w:val="28"/>
          <w:szCs w:val="28"/>
          <w:lang w:val="en-US" w:eastAsia="zh-CN"/>
        </w:rPr>
        <w:t>建议企业对存在的问题持续进行整改。</w:t>
      </w:r>
    </w:p>
    <w:p>
      <w:pPr>
        <w:snapToGrid w:val="0"/>
        <w:spacing w:line="360" w:lineRule="auto"/>
        <w:ind w:firstLine="560" w:firstLineChars="200"/>
        <w:rPr>
          <w:rFonts w:hint="eastAsia" w:ascii="宋体" w:hAnsi="宋体" w:eastAsia="宋体" w:cs="Times New Roman"/>
          <w:sz w:val="28"/>
        </w:rPr>
      </w:pPr>
      <w:r>
        <w:rPr>
          <w:rFonts w:hint="eastAsia" w:ascii="宋体" w:hAnsi="宋体" w:eastAsia="宋体" w:cs="Times New Roman"/>
          <w:sz w:val="28"/>
          <w:lang w:val="en-US" w:eastAsia="zh-CN"/>
        </w:rPr>
        <w:t>本评价报告在最终定稿前，以电子邮件方式发送至企业，由企业相关人员进行了确认。企业对报告中的现场描述、设备设施描述、工艺和技术参数描述、危险有害因素、评价过程等无异议。</w:t>
      </w:r>
    </w:p>
    <w:p>
      <w:pPr>
        <w:rPr>
          <w:rFonts w:hint="eastAsia" w:ascii="宋体" w:hAnsi="宋体" w:cs="宋体"/>
          <w:sz w:val="36"/>
          <w:szCs w:val="36"/>
          <w:lang w:val="en-US" w:eastAsia="zh-CN"/>
        </w:rPr>
      </w:pPr>
      <w:r>
        <w:rPr>
          <w:rFonts w:hint="eastAsia" w:ascii="宋体" w:hAnsi="宋体" w:cs="宋体"/>
          <w:sz w:val="36"/>
          <w:szCs w:val="36"/>
          <w:lang w:val="en-US" w:eastAsia="zh-CN"/>
        </w:rPr>
        <w:br w:type="page"/>
      </w:r>
    </w:p>
    <w:p>
      <w:pPr>
        <w:pStyle w:val="3"/>
        <w:rPr>
          <w:rFonts w:ascii="宋体" w:hAnsi="宋体" w:cs="宋体"/>
          <w:sz w:val="36"/>
          <w:szCs w:val="36"/>
        </w:rPr>
      </w:pPr>
      <w:r>
        <w:rPr>
          <w:rFonts w:hint="eastAsia" w:ascii="宋体" w:hAnsi="宋体" w:cs="宋体"/>
          <w:sz w:val="36"/>
          <w:szCs w:val="36"/>
          <w:lang w:val="en-US" w:eastAsia="zh-CN"/>
        </w:rPr>
        <w:t>9</w:t>
      </w:r>
      <w:r>
        <w:rPr>
          <w:rFonts w:hint="eastAsia" w:ascii="宋体" w:hAnsi="宋体" w:cs="宋体"/>
          <w:sz w:val="36"/>
          <w:szCs w:val="36"/>
        </w:rPr>
        <w:t xml:space="preserve"> 附件目录</w:t>
      </w:r>
      <w:bookmarkEnd w:id="633"/>
      <w:bookmarkEnd w:id="634"/>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"_Toc422141731" </w:instrText>
      </w:r>
      <w:r>
        <w:fldChar w:fldCharType="separate"/>
      </w:r>
      <w:r>
        <w:rPr>
          <w:rFonts w:hint="eastAsia" w:ascii="宋体" w:hAnsi="宋体" w:cs="宋体"/>
          <w:kern w:val="0"/>
          <w:sz w:val="28"/>
          <w:szCs w:val="28"/>
        </w:rPr>
        <w:t>附件一  安全评价委托书</w:t>
      </w:r>
      <w:r>
        <w:rPr>
          <w:rFonts w:hint="eastAsia" w:ascii="宋体" w:hAnsi="宋体" w:cs="宋体"/>
          <w:kern w:val="0"/>
          <w:sz w:val="28"/>
          <w:szCs w:val="28"/>
        </w:rPr>
        <w:fldChar w:fldCharType="end"/>
      </w:r>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"_Toc422141732" </w:instrText>
      </w:r>
      <w:r>
        <w:fldChar w:fldCharType="separate"/>
      </w:r>
      <w:r>
        <w:rPr>
          <w:rFonts w:hint="eastAsia" w:ascii="宋体" w:hAnsi="宋体" w:cs="宋体"/>
          <w:kern w:val="0"/>
          <w:sz w:val="28"/>
          <w:szCs w:val="28"/>
        </w:rPr>
        <w:t>附件二  营业执照</w:t>
      </w:r>
      <w:r>
        <w:rPr>
          <w:rFonts w:hint="eastAsia" w:ascii="宋体" w:hAnsi="宋体" w:cs="宋体"/>
          <w:kern w:val="0"/>
          <w:sz w:val="28"/>
          <w:szCs w:val="28"/>
        </w:rPr>
        <w:fldChar w:fldCharType="end"/>
      </w:r>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"_Toc422141737" </w:instrText>
      </w:r>
      <w:r>
        <w:fldChar w:fldCharType="separate"/>
      </w:r>
      <w:r>
        <w:rPr>
          <w:rFonts w:hint="eastAsia" w:ascii="宋体" w:hAnsi="宋体" w:cs="宋体"/>
          <w:kern w:val="0"/>
          <w:sz w:val="28"/>
          <w:szCs w:val="28"/>
        </w:rPr>
        <w:t>附件三</w:t>
      </w:r>
      <w:r>
        <w:rPr>
          <w:rFonts w:hint="eastAsia" w:ascii="宋体" w:hAnsi="宋体" w:cs="宋体"/>
          <w:kern w:val="0"/>
          <w:sz w:val="28"/>
          <w:szCs w:val="28"/>
          <w:lang w:val="en-US" w:eastAsia="zh-CN"/>
        </w:rPr>
        <w:t xml:space="preserve">  </w:t>
      </w:r>
      <w:r>
        <w:rPr>
          <w:rFonts w:hint="eastAsia" w:ascii="宋体" w:hAnsi="宋体" w:cs="宋体"/>
          <w:kern w:val="0"/>
          <w:sz w:val="28"/>
          <w:szCs w:val="28"/>
        </w:rPr>
        <w:t>安全预评价报告封面、编</w:t>
      </w:r>
      <w:r>
        <w:rPr>
          <w:rFonts w:hint="eastAsia" w:ascii="宋体" w:hAnsi="宋体" w:cs="宋体"/>
          <w:kern w:val="0"/>
          <w:sz w:val="28"/>
          <w:szCs w:val="28"/>
        </w:rPr>
        <w:fldChar w:fldCharType="end"/>
      </w:r>
      <w:r>
        <w:rPr>
          <w:rFonts w:hint="eastAsia" w:ascii="宋体" w:hAnsi="宋体" w:cs="宋体"/>
          <w:kern w:val="0"/>
          <w:sz w:val="28"/>
          <w:szCs w:val="28"/>
        </w:rPr>
        <w:t>制单位资质、评价人员签字页、</w:t>
      </w:r>
      <w:r>
        <w:rPr>
          <w:rFonts w:hint="eastAsia" w:ascii="宋体" w:hAnsi="宋体" w:cs="宋体"/>
          <w:sz w:val="28"/>
          <w:szCs w:val="28"/>
        </w:rPr>
        <w:t>专家审查意见</w:t>
      </w:r>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"_Toc422141738" </w:instrText>
      </w:r>
      <w:r>
        <w:fldChar w:fldCharType="separate"/>
      </w:r>
      <w:r>
        <w:rPr>
          <w:rFonts w:hint="eastAsia" w:ascii="宋体" w:hAnsi="宋体" w:cs="宋体"/>
          <w:kern w:val="0"/>
          <w:sz w:val="28"/>
          <w:szCs w:val="28"/>
        </w:rPr>
        <w:t>附件四</w:t>
      </w:r>
      <w:r>
        <w:rPr>
          <w:rFonts w:hint="eastAsia" w:ascii="宋体" w:hAnsi="宋体" w:cs="宋体"/>
          <w:kern w:val="0"/>
          <w:sz w:val="28"/>
          <w:szCs w:val="28"/>
          <w:lang w:val="en-US" w:eastAsia="zh-CN"/>
        </w:rPr>
        <w:t xml:space="preserve">  安全设施设计</w:t>
      </w:r>
      <w:r>
        <w:rPr>
          <w:rFonts w:hint="eastAsia" w:ascii="宋体" w:hAnsi="宋体" w:cs="宋体"/>
          <w:kern w:val="0"/>
          <w:sz w:val="28"/>
          <w:szCs w:val="28"/>
        </w:rPr>
        <w:t>单位资质</w:t>
      </w:r>
      <w:r>
        <w:rPr>
          <w:rFonts w:hint="eastAsia" w:ascii="宋体" w:hAnsi="宋体" w:cs="宋体"/>
          <w:kern w:val="0"/>
          <w:sz w:val="28"/>
          <w:szCs w:val="28"/>
        </w:rPr>
        <w:fldChar w:fldCharType="end"/>
      </w:r>
      <w:r>
        <w:rPr>
          <w:rFonts w:hint="eastAsia" w:ascii="宋体" w:hAnsi="宋体" w:cs="宋体"/>
          <w:kern w:val="0"/>
          <w:sz w:val="28"/>
          <w:szCs w:val="28"/>
        </w:rPr>
        <w:t>、评价人员签字页、</w:t>
      </w:r>
      <w:r>
        <w:rPr>
          <w:rFonts w:hint="eastAsia" w:ascii="宋体" w:hAnsi="宋体" w:cs="宋体"/>
          <w:sz w:val="28"/>
          <w:szCs w:val="28"/>
        </w:rPr>
        <w:t>专家审查意见</w:t>
      </w:r>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"_Toc422141740" </w:instrText>
      </w:r>
      <w:r>
        <w:fldChar w:fldCharType="separate"/>
      </w:r>
      <w:r>
        <w:rPr>
          <w:rFonts w:hint="eastAsia" w:ascii="宋体" w:hAnsi="宋体" w:cs="宋体"/>
          <w:kern w:val="0"/>
          <w:sz w:val="28"/>
          <w:szCs w:val="28"/>
        </w:rPr>
        <w:t>附件五  投资项目备案证</w:t>
      </w:r>
      <w:r>
        <w:rPr>
          <w:rFonts w:hint="eastAsia" w:ascii="宋体" w:hAnsi="宋体" w:cs="宋体"/>
          <w:kern w:val="0"/>
          <w:sz w:val="28"/>
          <w:szCs w:val="28"/>
        </w:rPr>
        <w:fldChar w:fldCharType="end"/>
      </w:r>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"_Toc422141743" </w:instrText>
      </w:r>
      <w:r>
        <w:fldChar w:fldCharType="separate"/>
      </w:r>
      <w:r>
        <w:rPr>
          <w:rFonts w:hint="eastAsia" w:ascii="宋体" w:hAnsi="宋体" w:cs="宋体"/>
          <w:kern w:val="0"/>
          <w:sz w:val="28"/>
          <w:szCs w:val="28"/>
        </w:rPr>
        <w:t>附件六</w:t>
      </w:r>
      <w:r>
        <w:rPr>
          <w:rFonts w:hint="eastAsia" w:ascii="宋体" w:hAnsi="宋体" w:cs="宋体"/>
          <w:kern w:val="0"/>
          <w:sz w:val="28"/>
          <w:szCs w:val="28"/>
        </w:rPr>
        <w:fldChar w:fldCharType="end"/>
      </w:r>
      <w:r>
        <w:rPr>
          <w:rFonts w:hint="eastAsia" w:ascii="宋体" w:hAnsi="宋体" w:cs="宋体"/>
          <w:kern w:val="0"/>
          <w:sz w:val="28"/>
          <w:szCs w:val="28"/>
          <w:lang w:val="en-US" w:eastAsia="zh-CN"/>
        </w:rPr>
        <w:t xml:space="preserve">  </w:t>
      </w:r>
      <w:r>
        <w:rPr>
          <w:rFonts w:hint="eastAsia" w:ascii="宋体" w:hAnsi="宋体" w:cs="宋体"/>
          <w:sz w:val="28"/>
          <w:szCs w:val="28"/>
        </w:rPr>
        <w:t>建筑消防设施检测评价报告</w:t>
      </w:r>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"_Toc422141744" </w:instrText>
      </w:r>
      <w:r>
        <w:fldChar w:fldCharType="separate"/>
      </w:r>
      <w:r>
        <w:rPr>
          <w:rFonts w:hint="eastAsia" w:ascii="宋体" w:hAnsi="宋体" w:cs="宋体"/>
          <w:kern w:val="0"/>
          <w:sz w:val="28"/>
          <w:szCs w:val="28"/>
        </w:rPr>
        <w:t>附件七</w:t>
      </w:r>
      <w:r>
        <w:rPr>
          <w:rFonts w:hint="eastAsia" w:ascii="宋体" w:hAnsi="宋体" w:cs="宋体"/>
          <w:kern w:val="0"/>
          <w:sz w:val="28"/>
          <w:szCs w:val="28"/>
        </w:rPr>
        <w:fldChar w:fldCharType="end"/>
      </w:r>
      <w:r>
        <w:rPr>
          <w:rFonts w:hint="eastAsia" w:ascii="宋体" w:hAnsi="宋体" w:cs="宋体"/>
          <w:kern w:val="0"/>
          <w:sz w:val="28"/>
          <w:szCs w:val="28"/>
          <w:lang w:val="en-US" w:eastAsia="zh-CN"/>
        </w:rPr>
        <w:t xml:space="preserve">  </w:t>
      </w:r>
      <w:r>
        <w:rPr>
          <w:rFonts w:hint="eastAsia" w:ascii="宋体" w:hAnsi="宋体" w:cs="宋体"/>
          <w:sz w:val="28"/>
          <w:szCs w:val="28"/>
        </w:rPr>
        <w:t>防雷（静电）装置检测报告</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附件八  叉车定期检验报告</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 xml:space="preserve">附件九  </w:t>
      </w:r>
      <w:r>
        <w:rPr>
          <w:rFonts w:hint="eastAsia" w:ascii="宋体" w:hAnsi="宋体" w:cs="宋体"/>
          <w:kern w:val="0"/>
          <w:sz w:val="28"/>
          <w:szCs w:val="28"/>
          <w:lang w:val="en-US" w:eastAsia="zh-CN"/>
        </w:rPr>
        <w:t>行</w:t>
      </w:r>
      <w:r>
        <w:rPr>
          <w:rFonts w:hint="eastAsia" w:ascii="宋体" w:hAnsi="宋体" w:cs="宋体"/>
          <w:kern w:val="0"/>
          <w:sz w:val="28"/>
          <w:szCs w:val="28"/>
        </w:rPr>
        <w:t>车定期检验报告</w:t>
      </w:r>
    </w:p>
    <w:p>
      <w:pPr>
        <w:tabs>
          <w:tab w:val="left" w:pos="960"/>
        </w:tabs>
        <w:adjustRightInd w:val="0"/>
        <w:snapToGrid w:val="0"/>
        <w:spacing w:line="360" w:lineRule="auto"/>
        <w:ind w:firstLine="482"/>
        <w:rPr>
          <w:sz w:val="28"/>
          <w:szCs w:val="28"/>
        </w:rPr>
      </w:pPr>
      <w:r>
        <w:rPr>
          <w:rFonts w:hint="eastAsia" w:ascii="宋体" w:hAnsi="宋体" w:cs="宋体"/>
          <w:kern w:val="0"/>
          <w:sz w:val="28"/>
          <w:szCs w:val="28"/>
        </w:rPr>
        <w:t>附件十</w:t>
      </w:r>
      <w:r>
        <w:rPr>
          <w:rFonts w:hint="eastAsia" w:ascii="宋体" w:hAnsi="宋体" w:cs="宋体"/>
          <w:kern w:val="0"/>
          <w:sz w:val="28"/>
          <w:szCs w:val="28"/>
          <w:lang w:val="en-US" w:eastAsia="zh-CN"/>
        </w:rPr>
        <w:t xml:space="preserve">  </w:t>
      </w:r>
      <w:r>
        <w:rPr>
          <w:rFonts w:hint="eastAsia"/>
          <w:sz w:val="28"/>
          <w:szCs w:val="28"/>
        </w:rPr>
        <w:t>压缩容器产品合格证</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 xml:space="preserve">附件十一 </w:t>
      </w:r>
      <w:r>
        <w:rPr>
          <w:rFonts w:hint="eastAsia" w:ascii="宋体" w:hAnsi="宋体" w:cs="宋体"/>
          <w:kern w:val="0"/>
          <w:sz w:val="28"/>
          <w:szCs w:val="28"/>
          <w:lang w:val="en-US" w:eastAsia="zh-CN"/>
        </w:rPr>
        <w:t xml:space="preserve"> </w:t>
      </w:r>
      <w:r>
        <w:rPr>
          <w:rFonts w:hint="eastAsia" w:ascii="宋体" w:hAnsi="宋体" w:cs="宋体"/>
          <w:kern w:val="0"/>
          <w:sz w:val="28"/>
          <w:szCs w:val="28"/>
        </w:rPr>
        <w:t>安全阀、压力表检验合格证</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附件十二</w:t>
      </w:r>
      <w:r>
        <w:rPr>
          <w:rFonts w:hint="eastAsia" w:ascii="宋体" w:hAnsi="宋体" w:cs="宋体"/>
          <w:kern w:val="0"/>
          <w:sz w:val="28"/>
          <w:szCs w:val="28"/>
          <w:lang w:val="en-US" w:eastAsia="zh-CN"/>
        </w:rPr>
        <w:t xml:space="preserve"> </w:t>
      </w:r>
      <w:r>
        <w:rPr>
          <w:rFonts w:hint="eastAsia" w:ascii="宋体" w:hAnsi="宋体" w:cs="宋体"/>
          <w:kern w:val="0"/>
          <w:sz w:val="28"/>
          <w:szCs w:val="28"/>
        </w:rPr>
        <w:t xml:space="preserve"> 消防验收备案凭证</w:t>
      </w:r>
    </w:p>
    <w:p>
      <w:pPr>
        <w:tabs>
          <w:tab w:val="left" w:pos="960"/>
        </w:tabs>
        <w:adjustRightInd w:val="0"/>
        <w:snapToGrid w:val="0"/>
        <w:spacing w:line="360" w:lineRule="auto"/>
        <w:ind w:firstLine="482"/>
        <w:rPr>
          <w:rFonts w:ascii="宋体" w:hAnsi="宋体" w:cs="宋体"/>
          <w:sz w:val="28"/>
          <w:szCs w:val="28"/>
        </w:rPr>
      </w:pPr>
      <w:r>
        <w:rPr>
          <w:rFonts w:hint="eastAsia" w:ascii="宋体" w:hAnsi="宋体" w:cs="宋体"/>
          <w:kern w:val="0"/>
          <w:sz w:val="28"/>
          <w:szCs w:val="28"/>
        </w:rPr>
        <w:t xml:space="preserve">附件十三 </w:t>
      </w:r>
      <w:r>
        <w:rPr>
          <w:rFonts w:hint="eastAsia" w:ascii="宋体" w:hAnsi="宋体" w:cs="宋体"/>
          <w:kern w:val="0"/>
          <w:sz w:val="28"/>
          <w:szCs w:val="28"/>
          <w:lang w:val="en-US" w:eastAsia="zh-CN"/>
        </w:rPr>
        <w:t xml:space="preserve"> </w:t>
      </w:r>
      <w:r>
        <w:rPr>
          <w:rFonts w:hint="eastAsia" w:ascii="宋体" w:hAnsi="宋体" w:cs="宋体"/>
          <w:kern w:val="0"/>
          <w:sz w:val="28"/>
          <w:szCs w:val="28"/>
        </w:rPr>
        <w:t>安全管理资格证书、</w:t>
      </w:r>
      <w:r>
        <w:rPr>
          <w:rFonts w:hint="eastAsia" w:ascii="宋体" w:hAnsi="宋体" w:cs="宋体"/>
          <w:sz w:val="28"/>
          <w:szCs w:val="28"/>
        </w:rPr>
        <w:t>特种作业人员证书</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附件十四</w:t>
      </w:r>
      <w:r>
        <w:rPr>
          <w:rFonts w:hint="eastAsia" w:ascii="宋体" w:hAnsi="宋体" w:cs="宋体"/>
          <w:kern w:val="0"/>
          <w:sz w:val="28"/>
          <w:szCs w:val="28"/>
          <w:lang w:val="en-US" w:eastAsia="zh-CN"/>
        </w:rPr>
        <w:t xml:space="preserve"> </w:t>
      </w:r>
      <w:r>
        <w:rPr>
          <w:rFonts w:hint="eastAsia" w:ascii="宋体" w:hAnsi="宋体" w:cs="宋体"/>
          <w:kern w:val="0"/>
          <w:sz w:val="28"/>
          <w:szCs w:val="28"/>
        </w:rPr>
        <w:t xml:space="preserve"> 工程竣工验收合格证明书</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 xml:space="preserve">附件十五 </w:t>
      </w:r>
      <w:r>
        <w:rPr>
          <w:rFonts w:hint="eastAsia" w:ascii="宋体" w:hAnsi="宋体" w:cs="宋体"/>
          <w:kern w:val="0"/>
          <w:sz w:val="28"/>
          <w:szCs w:val="28"/>
          <w:lang w:val="en-US" w:eastAsia="zh-CN"/>
        </w:rPr>
        <w:t xml:space="preserve"> </w:t>
      </w:r>
      <w:r>
        <w:rPr>
          <w:rFonts w:hint="eastAsia" w:ascii="宋体" w:hAnsi="宋体" w:cs="宋体"/>
          <w:kern w:val="0"/>
          <w:sz w:val="28"/>
          <w:szCs w:val="28"/>
        </w:rPr>
        <w:t>试生产方案</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附件十六</w:t>
      </w:r>
      <w:r>
        <w:rPr>
          <w:rFonts w:hint="eastAsia" w:ascii="宋体" w:hAnsi="宋体" w:cs="宋体"/>
          <w:kern w:val="0"/>
          <w:sz w:val="28"/>
          <w:szCs w:val="28"/>
          <w:lang w:val="en-US" w:eastAsia="zh-CN"/>
        </w:rPr>
        <w:t xml:space="preserve"> </w:t>
      </w:r>
      <w:r>
        <w:rPr>
          <w:rFonts w:hint="eastAsia" w:ascii="宋体" w:hAnsi="宋体" w:cs="宋体"/>
          <w:kern w:val="0"/>
          <w:sz w:val="28"/>
          <w:szCs w:val="28"/>
        </w:rPr>
        <w:t xml:space="preserve"> 试生产总结</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 xml:space="preserve">附件十七 </w:t>
      </w:r>
      <w:r>
        <w:rPr>
          <w:rFonts w:hint="eastAsia" w:ascii="宋体" w:hAnsi="宋体" w:cs="宋体"/>
          <w:kern w:val="0"/>
          <w:sz w:val="28"/>
          <w:szCs w:val="28"/>
          <w:lang w:val="en-US" w:eastAsia="zh-CN"/>
        </w:rPr>
        <w:t xml:space="preserve"> </w:t>
      </w:r>
      <w:r>
        <w:rPr>
          <w:rFonts w:hint="eastAsia" w:ascii="宋体" w:hAnsi="宋体" w:cs="宋体"/>
          <w:kern w:val="0"/>
          <w:sz w:val="28"/>
          <w:szCs w:val="28"/>
        </w:rPr>
        <w:t>安全管理机构设置文件</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 xml:space="preserve">附件十八 </w:t>
      </w:r>
      <w:r>
        <w:rPr>
          <w:rFonts w:hint="eastAsia" w:ascii="宋体" w:hAnsi="宋体" w:cs="宋体"/>
          <w:kern w:val="0"/>
          <w:sz w:val="28"/>
          <w:szCs w:val="28"/>
          <w:lang w:val="en-US" w:eastAsia="zh-CN"/>
        </w:rPr>
        <w:t xml:space="preserve"> </w:t>
      </w:r>
      <w:r>
        <w:rPr>
          <w:rFonts w:hint="eastAsia" w:ascii="宋体" w:hAnsi="宋体" w:cs="宋体"/>
          <w:kern w:val="0"/>
          <w:sz w:val="28"/>
          <w:szCs w:val="28"/>
        </w:rPr>
        <w:t>安全标准化管理制度目录、安全操作规程目录、安全生产责任制目录</w:t>
      </w:r>
    </w:p>
    <w:p>
      <w:pPr>
        <w:tabs>
          <w:tab w:val="left" w:pos="960"/>
        </w:tabs>
        <w:adjustRightInd w:val="0"/>
        <w:snapToGrid w:val="0"/>
        <w:spacing w:line="360" w:lineRule="auto"/>
        <w:ind w:firstLine="482"/>
        <w:rPr>
          <w:rFonts w:ascii="宋体" w:hAnsi="宋体" w:cs="宋体"/>
          <w:kern w:val="0"/>
          <w:sz w:val="28"/>
          <w:szCs w:val="28"/>
        </w:rPr>
      </w:pPr>
      <w:r>
        <w:fldChar w:fldCharType="begin"/>
      </w:r>
      <w:r>
        <w:instrText xml:space="preserve"> HYPERLINK \l "_Toc422141755" </w:instrText>
      </w:r>
      <w:r>
        <w:fldChar w:fldCharType="separate"/>
      </w:r>
      <w:r>
        <w:rPr>
          <w:rFonts w:hint="eastAsia" w:ascii="宋体" w:hAnsi="宋体" w:cs="宋体"/>
          <w:kern w:val="0"/>
          <w:sz w:val="28"/>
          <w:szCs w:val="28"/>
        </w:rPr>
        <w:t>附件十九</w:t>
      </w:r>
      <w:r>
        <w:rPr>
          <w:rFonts w:hint="eastAsia" w:ascii="宋体" w:hAnsi="宋体" w:cs="宋体"/>
          <w:kern w:val="0"/>
          <w:sz w:val="28"/>
          <w:szCs w:val="28"/>
        </w:rPr>
        <w:fldChar w:fldCharType="end"/>
      </w:r>
      <w:r>
        <w:rPr>
          <w:rFonts w:hint="eastAsia" w:ascii="宋体" w:hAnsi="宋体" w:cs="宋体"/>
          <w:kern w:val="0"/>
          <w:sz w:val="28"/>
          <w:szCs w:val="28"/>
          <w:lang w:val="en-US" w:eastAsia="zh-CN"/>
        </w:rPr>
        <w:t xml:space="preserve">  </w:t>
      </w:r>
      <w:r>
        <w:rPr>
          <w:rFonts w:hint="eastAsia" w:ascii="宋体" w:hAnsi="宋体" w:cs="宋体"/>
          <w:kern w:val="0"/>
          <w:sz w:val="28"/>
          <w:szCs w:val="28"/>
        </w:rPr>
        <w:t>工伤保险缴费凭证</w:t>
      </w:r>
    </w:p>
    <w:p>
      <w:pPr>
        <w:tabs>
          <w:tab w:val="left" w:pos="960"/>
        </w:tabs>
        <w:adjustRightInd w:val="0"/>
        <w:snapToGrid w:val="0"/>
        <w:spacing w:line="360" w:lineRule="auto"/>
        <w:ind w:firstLine="482"/>
        <w:rPr>
          <w:rFonts w:ascii="宋体" w:hAnsi="宋体" w:cs="宋体"/>
          <w:kern w:val="0"/>
          <w:sz w:val="28"/>
          <w:szCs w:val="28"/>
        </w:rPr>
      </w:pPr>
      <w:r>
        <w:rPr>
          <w:rFonts w:hint="eastAsia" w:ascii="宋体" w:hAnsi="宋体" w:cs="宋体"/>
          <w:kern w:val="0"/>
          <w:sz w:val="28"/>
          <w:szCs w:val="28"/>
        </w:rPr>
        <w:t xml:space="preserve">附件二十 </w:t>
      </w:r>
      <w:r>
        <w:rPr>
          <w:rFonts w:hint="eastAsia" w:ascii="宋体" w:hAnsi="宋体" w:cs="宋体"/>
          <w:kern w:val="0"/>
          <w:sz w:val="28"/>
          <w:szCs w:val="28"/>
          <w:lang w:val="en-US" w:eastAsia="zh-CN"/>
        </w:rPr>
        <w:t xml:space="preserve"> </w:t>
      </w:r>
      <w:r>
        <w:rPr>
          <w:rFonts w:hint="eastAsia" w:ascii="宋体" w:hAnsi="宋体" w:cs="宋体"/>
          <w:kern w:val="0"/>
          <w:sz w:val="28"/>
          <w:szCs w:val="28"/>
        </w:rPr>
        <w:t>生产安全事故应急预案及备案登记表</w:t>
      </w:r>
    </w:p>
    <w:p>
      <w:pPr>
        <w:tabs>
          <w:tab w:val="left" w:pos="960"/>
        </w:tabs>
        <w:adjustRightInd w:val="0"/>
        <w:snapToGrid w:val="0"/>
        <w:spacing w:line="360" w:lineRule="auto"/>
        <w:ind w:firstLine="482"/>
        <w:rPr>
          <w:rFonts w:hint="eastAsia" w:ascii="宋体" w:hAnsi="宋体" w:cs="宋体"/>
          <w:kern w:val="0"/>
          <w:sz w:val="28"/>
          <w:szCs w:val="28"/>
        </w:rPr>
      </w:pPr>
      <w:r>
        <w:rPr>
          <w:rFonts w:hint="eastAsia" w:ascii="宋体" w:hAnsi="宋体" w:cs="宋体"/>
          <w:kern w:val="0"/>
          <w:sz w:val="28"/>
          <w:szCs w:val="28"/>
        </w:rPr>
        <w:t>附件二十一</w:t>
      </w:r>
      <w:r>
        <w:rPr>
          <w:rFonts w:hint="eastAsia" w:ascii="宋体" w:hAnsi="宋体" w:cs="宋体"/>
          <w:kern w:val="0"/>
          <w:sz w:val="28"/>
          <w:szCs w:val="28"/>
          <w:lang w:val="en-US" w:eastAsia="zh-CN"/>
        </w:rPr>
        <w:t xml:space="preserve"> </w:t>
      </w:r>
      <w:r>
        <w:rPr>
          <w:rFonts w:hint="eastAsia" w:ascii="宋体" w:hAnsi="宋体" w:cs="宋体"/>
          <w:kern w:val="0"/>
          <w:sz w:val="28"/>
          <w:szCs w:val="28"/>
        </w:rPr>
        <w:t xml:space="preserve"> 公共仓库租赁合同</w:t>
      </w:r>
    </w:p>
    <w:p>
      <w:pPr>
        <w:tabs>
          <w:tab w:val="left" w:pos="960"/>
        </w:tabs>
        <w:adjustRightInd w:val="0"/>
        <w:snapToGrid w:val="0"/>
        <w:spacing w:line="360" w:lineRule="auto"/>
        <w:ind w:firstLine="482"/>
        <w:rPr>
          <w:rFonts w:hint="eastAsia" w:ascii="宋体" w:hAnsi="宋体" w:cs="宋体"/>
          <w:kern w:val="0"/>
          <w:sz w:val="28"/>
          <w:szCs w:val="28"/>
          <w:lang w:val="en-US" w:eastAsia="zh-CN"/>
        </w:rPr>
      </w:pPr>
      <w:r>
        <w:rPr>
          <w:rFonts w:hint="eastAsia" w:ascii="宋体" w:hAnsi="宋体" w:cs="宋体"/>
          <w:kern w:val="0"/>
          <w:sz w:val="28"/>
          <w:szCs w:val="28"/>
          <w:lang w:val="en-US" w:eastAsia="zh-CN"/>
        </w:rPr>
        <w:t xml:space="preserve">附件二十二 整改反馈说明 </w:t>
      </w:r>
    </w:p>
    <w:p>
      <w:pPr>
        <w:tabs>
          <w:tab w:val="left" w:pos="960"/>
        </w:tabs>
        <w:adjustRightInd w:val="0"/>
        <w:snapToGrid w:val="0"/>
        <w:spacing w:line="360" w:lineRule="auto"/>
        <w:ind w:firstLine="482"/>
        <w:rPr>
          <w:rFonts w:hint="eastAsia" w:ascii="宋体" w:hAnsi="宋体" w:cs="宋体"/>
          <w:kern w:val="0"/>
          <w:sz w:val="28"/>
          <w:szCs w:val="28"/>
          <w:lang w:val="en-US" w:eastAsia="zh-CN"/>
        </w:rPr>
      </w:pPr>
      <w:r>
        <w:rPr>
          <w:rFonts w:hint="eastAsia" w:ascii="宋体" w:hAnsi="宋体" w:cs="宋体"/>
          <w:kern w:val="0"/>
          <w:sz w:val="28"/>
          <w:szCs w:val="28"/>
          <w:lang w:val="en-US" w:eastAsia="zh-CN"/>
        </w:rPr>
        <w:t>附件二十三 总平面布置图</w:t>
      </w:r>
    </w:p>
    <w:p>
      <w:pPr>
        <w:tabs>
          <w:tab w:val="left" w:pos="960"/>
        </w:tabs>
        <w:adjustRightInd w:val="0"/>
        <w:snapToGrid w:val="0"/>
        <w:spacing w:line="360" w:lineRule="auto"/>
        <w:ind w:firstLine="482"/>
        <w:rPr>
          <w:rFonts w:hint="default" w:ascii="宋体" w:hAnsi="宋体" w:cs="宋体"/>
          <w:kern w:val="0"/>
          <w:sz w:val="28"/>
          <w:szCs w:val="28"/>
          <w:lang w:val="en-US" w:eastAsia="zh-CN"/>
        </w:rPr>
      </w:pPr>
      <w:r>
        <w:rPr>
          <w:rFonts w:hint="eastAsia" w:ascii="宋体" w:hAnsi="宋体" w:cs="宋体"/>
          <w:kern w:val="0"/>
          <w:sz w:val="28"/>
          <w:szCs w:val="28"/>
          <w:lang w:val="en-US" w:eastAsia="zh-CN"/>
        </w:rPr>
        <w:t>附件二十四 设备布置图</w:t>
      </w:r>
    </w:p>
    <w:sectPr>
      <w:headerReference r:id="rId9" w:type="default"/>
      <w:footerReference r:id="rId10" w:type="default"/>
      <w:pgSz w:w="11906" w:h="16838"/>
      <w:pgMar w:top="1417" w:right="1134" w:bottom="1134" w:left="1587" w:header="850" w:footer="850" w:gutter="0"/>
      <w:pgNumType w:start="1"/>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Gulim">
    <w:altName w:val="Malgun Gothic"/>
    <w:panose1 w:val="020B0600000101010101"/>
    <w:charset w:val="81"/>
    <w:family w:val="swiss"/>
    <w:pitch w:val="default"/>
    <w:sig w:usb0="00000000" w:usb1="00000000" w:usb2="00000030" w:usb3="00000000" w:csb0="4008009F" w:csb1="DFD70000"/>
  </w:font>
  <w:font w:name="Batang">
    <w:altName w:val="Malgun Gothic"/>
    <w:panose1 w:val="02030600000101010101"/>
    <w:charset w:val="81"/>
    <w:family w:val="roman"/>
    <w:pitch w:val="default"/>
    <w:sig w:usb0="00000000" w:usb1="00000000" w:usb2="00000030" w:usb3="00000000" w:csb0="4008009F" w:csb1="DFD70000"/>
  </w:font>
  <w:font w:name="Helvetica">
    <w:altName w:val="Arial"/>
    <w:panose1 w:val="020B0604020202020204"/>
    <w:charset w:val="00"/>
    <w:family w:val="swiss"/>
    <w:pitch w:val="default"/>
    <w:sig w:usb0="00000000" w:usb1="00000000" w:usb2="00000009" w:usb3="00000000" w:csb0="000001F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0"/>
      </w:pBdr>
      <w:rPr>
        <w:rFonts w:ascii="宋体" w:hAnsi="宋体"/>
        <w:sz w:val="24"/>
        <w:szCs w:val="24"/>
      </w:rPr>
    </w:pPr>
  </w:p>
  <w:p>
    <w:pPr>
      <w:pStyle w:val="33"/>
      <w:rPr>
        <w:rFonts w:ascii="宋体" w:hAnsi="宋体"/>
        <w:sz w:val="21"/>
        <w:szCs w:val="21"/>
      </w:rPr>
    </w:pPr>
    <w:r>
      <w:rPr>
        <w:sz w:val="24"/>
      </w:rPr>
      <mc:AlternateContent>
        <mc:Choice Requires="wps">
          <w:drawing>
            <wp:anchor distT="0" distB="0" distL="114300" distR="114300" simplePos="0" relativeHeight="251661312" behindDoc="0" locked="0" layoutInCell="1" allowOverlap="1">
              <wp:simplePos x="0" y="0"/>
              <wp:positionH relativeFrom="margin">
                <wp:posOffset>3352165</wp:posOffset>
              </wp:positionH>
              <wp:positionV relativeFrom="paragraph">
                <wp:posOffset>15240</wp:posOffset>
              </wp:positionV>
              <wp:extent cx="518160" cy="257810"/>
              <wp:effectExtent l="0" t="0" r="0" b="0"/>
              <wp:wrapNone/>
              <wp:docPr id="20" name="文本框 56"/>
              <wp:cNvGraphicFramePr/>
              <a:graphic xmlns:a="http://schemas.openxmlformats.org/drawingml/2006/main">
                <a:graphicData uri="http://schemas.microsoft.com/office/word/2010/wordprocessingShape">
                  <wps:wsp>
                    <wps:cNvSpPr txBox="1"/>
                    <wps:spPr>
                      <a:xfrm>
                        <a:off x="0" y="0"/>
                        <a:ext cx="518160" cy="257810"/>
                      </a:xfrm>
                      <a:prstGeom prst="rect">
                        <a:avLst/>
                      </a:prstGeom>
                      <a:noFill/>
                      <a:ln>
                        <a:noFill/>
                      </a:ln>
                      <a:effectLst/>
                    </wps:spPr>
                    <wps:txbx>
                      <w:txbxContent>
                        <w:p>
                          <w:pPr>
                            <w:pStyle w:val="33"/>
                          </w:pPr>
                          <w:r>
                            <w:fldChar w:fldCharType="begin"/>
                          </w:r>
                          <w:r>
                            <w:instrText xml:space="preserve"> PAGE  \* MERGEFORMAT </w:instrText>
                          </w:r>
                          <w:r>
                            <w:fldChar w:fldCharType="separate"/>
                          </w:r>
                          <w:r>
                            <w:t>5</w:t>
                          </w:r>
                          <w:r>
                            <w:fldChar w:fldCharType="end"/>
                          </w:r>
                        </w:p>
                      </w:txbxContent>
                    </wps:txbx>
                    <wps:bodyPr lIns="0" tIns="0" rIns="0" bIns="0" upright="0"/>
                  </wps:wsp>
                </a:graphicData>
              </a:graphic>
            </wp:anchor>
          </w:drawing>
        </mc:Choice>
        <mc:Fallback>
          <w:pict>
            <v:shape id="文本框 56" o:spid="_x0000_s1026" o:spt="202" type="#_x0000_t202" style="position:absolute;left:0pt;margin-left:263.95pt;margin-top:1.2pt;height:20.3pt;width:40.8pt;mso-position-horizontal-relative:margin;z-index:251661312;mso-width-relative:page;mso-height-relative:page;" filled="f" stroked="f" coordsize="21600,21600" o:gfxdata="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KxcoTYAAAACAEAAA8AAAAAAAAAAQAgAAAAIgAAAGRycy9kb3ducmV2Lnht&#10;bFBLAQIUABQAAAAIAIdO4kD5mbbGwAEAAIEDAAAOAAAAAAAAAAEAIAAAACcBAABkcnMvZTJvRG9j&#10;LnhtbFBLBQYAAAAABgAGAFkBAABZBQAAAAA=&#10;">
              <v:fill on="f" focussize="0,0"/>
              <v:stroke on="f"/>
              <v:imagedata o:title=""/>
              <o:lock v:ext="edit" aspectratio="f"/>
              <v:textbox inset="0mm,0mm,0mm,0mm">
                <w:txbxContent>
                  <w:p>
                    <w:pPr>
                      <w:pStyle w:val="33"/>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kern w:val="0"/>
        <w:sz w:val="21"/>
        <w:szCs w:val="21"/>
      </w:rPr>
      <w:t>昭通市鼎安科技有限公司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3"/>
                            <w:rPr>
                              <w:rStyle w:val="58"/>
                            </w:rPr>
                          </w:pPr>
                          <w:r>
                            <w:rPr>
                              <w:rStyle w:val="58"/>
                              <w:rFonts w:hint="eastAsia"/>
                            </w:rPr>
                            <w:t xml:space="preserve">第 </w:t>
                          </w:r>
                          <w:r>
                            <w:rPr>
                              <w:rFonts w:hint="eastAsia"/>
                            </w:rPr>
                            <w:fldChar w:fldCharType="begin"/>
                          </w:r>
                          <w:r>
                            <w:rPr>
                              <w:rStyle w:val="58"/>
                              <w:rFonts w:hint="eastAsia"/>
                            </w:rPr>
                            <w:instrText xml:space="preserve"> PAGE  \* MERGEFORMAT </w:instrText>
                          </w:r>
                          <w:r>
                            <w:rPr>
                              <w:rFonts w:hint="eastAsia"/>
                            </w:rPr>
                            <w:fldChar w:fldCharType="separate"/>
                          </w:r>
                          <w:r>
                            <w:rPr>
                              <w:rStyle w:val="58"/>
                              <w:rFonts w:hint="eastAsia"/>
                            </w:rPr>
                            <w:t>2</w:t>
                          </w:r>
                          <w:r>
                            <w:rPr>
                              <w:rFonts w:hint="eastAsia"/>
                            </w:rPr>
                            <w:fldChar w:fldCharType="end"/>
                          </w:r>
                          <w:r>
                            <w:rPr>
                              <w:rStyle w:val="58"/>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yeYQs0BAACpAwAADgAAAAAAAAABACAAAAAeAQAAZHJzL2Uy&#10;b0RvYy54bWxQSwUGAAAAAAYABgBZAQAAXQUAAAAA&#10;">
              <v:fill on="f" focussize="0,0"/>
              <v:stroke on="f"/>
              <v:imagedata o:title=""/>
              <o:lock v:ext="edit" aspectratio="f"/>
              <v:textbox inset="0mm,0mm,0mm,0mm" style="mso-fit-shape-to-text:t;">
                <w:txbxContent>
                  <w:p>
                    <w:pPr>
                      <w:pStyle w:val="33"/>
                      <w:rPr>
                        <w:rStyle w:val="58"/>
                      </w:rPr>
                    </w:pPr>
                    <w:r>
                      <w:rPr>
                        <w:rStyle w:val="58"/>
                        <w:rFonts w:hint="eastAsia"/>
                      </w:rPr>
                      <w:t xml:space="preserve">第 </w:t>
                    </w:r>
                    <w:r>
                      <w:rPr>
                        <w:rFonts w:hint="eastAsia"/>
                      </w:rPr>
                      <w:fldChar w:fldCharType="begin"/>
                    </w:r>
                    <w:r>
                      <w:rPr>
                        <w:rStyle w:val="58"/>
                        <w:rFonts w:hint="eastAsia"/>
                      </w:rPr>
                      <w:instrText xml:space="preserve"> PAGE  \* MERGEFORMAT </w:instrText>
                    </w:r>
                    <w:r>
                      <w:rPr>
                        <w:rFonts w:hint="eastAsia"/>
                      </w:rPr>
                      <w:fldChar w:fldCharType="separate"/>
                    </w:r>
                    <w:r>
                      <w:rPr>
                        <w:rStyle w:val="58"/>
                        <w:rFonts w:hint="eastAsia"/>
                      </w:rPr>
                      <w:t>2</w:t>
                    </w:r>
                    <w:r>
                      <w:rPr>
                        <w:rFonts w:hint="eastAsia"/>
                      </w:rPr>
                      <w:fldChar w:fldCharType="end"/>
                    </w:r>
                    <w:r>
                      <w:rPr>
                        <w:rStyle w:val="58"/>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right="360"/>
    </w:pPr>
    <w:r>
      <w:rPr>
        <w:sz w:val="20"/>
      </w:rPr>
      <mc:AlternateContent>
        <mc:Choice Requires="wps">
          <w:drawing>
            <wp:anchor distT="0" distB="0" distL="114300" distR="114300" simplePos="0" relativeHeight="251663360" behindDoc="0" locked="0" layoutInCell="1" allowOverlap="1">
              <wp:simplePos x="0" y="0"/>
              <wp:positionH relativeFrom="margin">
                <wp:posOffset>3258820</wp:posOffset>
              </wp:positionH>
              <wp:positionV relativeFrom="paragraph">
                <wp:posOffset>5715</wp:posOffset>
              </wp:positionV>
              <wp:extent cx="1828800" cy="1828800"/>
              <wp:effectExtent l="0" t="0" r="0" b="0"/>
              <wp:wrapNone/>
              <wp:docPr id="22"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3"/>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wrap="none" lIns="0" tIns="0" rIns="0" bIns="0" upright="0">
                      <a:spAutoFit/>
                    </wps:bodyPr>
                  </wps:wsp>
                </a:graphicData>
              </a:graphic>
            </wp:anchor>
          </w:drawing>
        </mc:Choice>
        <mc:Fallback>
          <w:pict>
            <v:shape id="文本框 68" o:spid="_x0000_s1026" o:spt="202" type="#_x0000_t202" style="position:absolute;left:0pt;margin-left:256.6pt;margin-top:0.45pt;height:144pt;width:144pt;mso-position-horizontal-relative:margin;mso-wrap-style:none;z-index:251663360;mso-width-relative:page;mso-height-relative:page;" filled="f" stroked="f" coordsize="21600,21600" o:gfxdata="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45y41AAAAAgBAAAPAAAAAAAAAAEAIAAAACIAAABkcnMv&#10;ZG93bnJldi54bWxQSwECFAAUAAAACACHTuJAQpIVVM4BAACpAwAADgAAAAAAAAABACAAAAAjAQAA&#10;ZHJzL2Uyb0RvYy54bWxQSwUGAAAAAAYABgBZAQAAYwUAAAAA&#10;">
              <v:fill on="f" focussize="0,0"/>
              <v:stroke on="f"/>
              <v:imagedata o:title=""/>
              <o:lock v:ext="edit" aspectratio="f"/>
              <v:textbox inset="0mm,0mm,0mm,0mm" style="mso-fit-shape-to-text:t;">
                <w:txbxContent>
                  <w:p>
                    <w:pPr>
                      <w:pStyle w:val="33"/>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r>
      <w:rPr>
        <w:kern w:val="0"/>
        <w:sz w:val="20"/>
        <w:szCs w:val="21"/>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-24765</wp:posOffset>
              </wp:positionV>
              <wp:extent cx="5774055" cy="0"/>
              <wp:effectExtent l="0" t="0" r="0" b="0"/>
              <wp:wrapNone/>
              <wp:docPr id="21" name="直线 61"/>
              <wp:cNvGraphicFramePr/>
              <a:graphic xmlns:a="http://schemas.openxmlformats.org/drawingml/2006/main">
                <a:graphicData uri="http://schemas.microsoft.com/office/word/2010/wordprocessingShape">
                  <wps:wsp>
                    <wps:cNvCnPr/>
                    <wps:spPr>
                      <a:xfrm>
                        <a:off x="0" y="0"/>
                        <a:ext cx="577405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1" o:spid="_x0000_s1026" o:spt="20" style="position:absolute;left:0pt;margin-left:0pt;margin-top:-1.95pt;height:0pt;width:454.65pt;z-index:251662336;mso-width-relative:page;mso-height-relative:page;" filled="f" stroked="t" coordsize="21600,21600" o:gfxdata="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D5s1AAAAAYBAAAPAAAAAAAAAAEAIAAAACIAAABkcnMvZG93bnJldi54bWxQSwECFAAUAAAACACH&#10;TuJACgR+Mu8BAADrAwAADgAAAAAAAAABACAAAAAjAQAAZHJzL2Uyb0RvYy54bWxQSwUGAAAAAAYA&#10;BgBZAQAAhAUAAAAA&#10;">
              <v:fill on="f" focussize="0,0"/>
              <v:stroke color="#000000" joinstyle="round"/>
              <v:imagedata o:title=""/>
              <o:lock v:ext="edit" aspectratio="f"/>
            </v:line>
          </w:pict>
        </mc:Fallback>
      </mc:AlternateContent>
    </w:r>
    <w:r>
      <w:rPr>
        <w:rFonts w:hint="eastAsia"/>
        <w:kern w:val="0"/>
        <w:sz w:val="21"/>
        <w:szCs w:val="21"/>
      </w:rPr>
      <w:t>昭通市鼎安科技有限公司</w:t>
    </w:r>
    <w:r>
      <w:rPr>
        <w:rFonts w:hint="eastAsia"/>
        <w:kern w:val="0"/>
        <w:szCs w:val="21"/>
      </w:rPr>
      <w:t>　　　　　　　　　　　　　　</w:t>
    </w:r>
    <w:r>
      <w:rPr>
        <w:rFonts w:hint="eastAsia"/>
        <w:b/>
        <w:bCs/>
        <w:kern w:val="0"/>
        <w:szCs w:val="21"/>
      </w:rPr>
      <w:t>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ascii="宋体" w:hAnsi="宋体" w:cs="宋体"/>
      </w:rPr>
    </w:pPr>
    <w:r>
      <w:rPr>
        <w:rFonts w:hint="eastAsia" w:ascii="宋体" w:hAnsi="宋体" w:cs="宋体"/>
      </w:rPr>
      <w:t>昆明云内动力股份有限公司G系列节能环保轻型商用车汽油机产业化建设项目安全验收评价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rPr>
        <w:rFonts w:hint="eastAsia"/>
      </w:rPr>
      <w:t>昆明云内动力股份有限公司G系列节能环保轻型商用车汽油机产业化建设项目</w:t>
    </w:r>
    <w:r>
      <w:rPr>
        <w:rFonts w:hint="eastAsia"/>
        <w:snapToGrid w:val="0"/>
        <w:kern w:val="0"/>
      </w:rPr>
      <w:t>安全验收评价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ascii="宋体" w:hAnsi="宋体" w:cs="宋体"/>
      </w:rPr>
    </w:pPr>
    <w:r>
      <w:rPr>
        <w:rFonts w:hint="eastAsia" w:ascii="宋体" w:hAnsi="宋体" w:cs="宋体"/>
      </w:rPr>
      <w:t>昆明云内动力股份有限公司G系列节能环保轻型商用车汽油机产业化建设项目安全验收评价</w:t>
    </w:r>
  </w:p>
  <w:p>
    <w:pPr>
      <w:pStyle w:val="19"/>
      <w:spacing w:line="14" w:lineRule="auto"/>
      <w:ind w:firstLine="40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5EE22"/>
    <w:multiLevelType w:val="singleLevel"/>
    <w:tmpl w:val="B975EE22"/>
    <w:lvl w:ilvl="0" w:tentative="0">
      <w:start w:val="3"/>
      <w:numFmt w:val="chineseCounting"/>
      <w:suff w:val="nothing"/>
      <w:lvlText w:val="%1、"/>
      <w:lvlJc w:val="left"/>
      <w:rPr>
        <w:rFonts w:hint="eastAsia"/>
      </w:rPr>
    </w:lvl>
  </w:abstractNum>
  <w:abstractNum w:abstractNumId="1">
    <w:nsid w:val="C1741E00"/>
    <w:multiLevelType w:val="singleLevel"/>
    <w:tmpl w:val="C1741E00"/>
    <w:lvl w:ilvl="0" w:tentative="0">
      <w:start w:val="1"/>
      <w:numFmt w:val="decimal"/>
      <w:lvlText w:val="%1"/>
      <w:lvlJc w:val="center"/>
      <w:pPr>
        <w:tabs>
          <w:tab w:val="left" w:pos="0"/>
        </w:tabs>
        <w:ind w:left="210" w:firstLine="0"/>
      </w:pPr>
      <w:rPr>
        <w:rFonts w:hint="default"/>
      </w:rPr>
    </w:lvl>
  </w:abstractNum>
  <w:abstractNum w:abstractNumId="2">
    <w:nsid w:val="D6AD09E5"/>
    <w:multiLevelType w:val="singleLevel"/>
    <w:tmpl w:val="D6AD09E5"/>
    <w:lvl w:ilvl="0" w:tentative="0">
      <w:start w:val="1"/>
      <w:numFmt w:val="decimal"/>
      <w:suff w:val="nothing"/>
      <w:lvlText w:val="%1"/>
      <w:lvlJc w:val="left"/>
      <w:pPr>
        <w:ind w:left="-403" w:firstLine="403"/>
      </w:pPr>
      <w:rPr>
        <w:rFonts w:hint="default"/>
      </w:rPr>
    </w:lvl>
  </w:abstractNum>
  <w:abstractNum w:abstractNumId="3">
    <w:nsid w:val="D8760F85"/>
    <w:multiLevelType w:val="singleLevel"/>
    <w:tmpl w:val="D8760F85"/>
    <w:lvl w:ilvl="0" w:tentative="0">
      <w:start w:val="1"/>
      <w:numFmt w:val="decimal"/>
      <w:suff w:val="nothing"/>
      <w:lvlText w:val="%1．"/>
      <w:lvlJc w:val="left"/>
      <w:pPr>
        <w:ind w:left="0" w:firstLine="400"/>
      </w:pPr>
      <w:rPr>
        <w:rFonts w:hint="default"/>
      </w:rPr>
    </w:lvl>
  </w:abstractNum>
  <w:abstractNum w:abstractNumId="4">
    <w:nsid w:val="D9346895"/>
    <w:multiLevelType w:val="singleLevel"/>
    <w:tmpl w:val="D9346895"/>
    <w:lvl w:ilvl="0" w:tentative="0">
      <w:start w:val="2"/>
      <w:numFmt w:val="chineseCounting"/>
      <w:suff w:val="nothing"/>
      <w:lvlText w:val="%1、"/>
      <w:lvlJc w:val="left"/>
      <w:rPr>
        <w:rFonts w:hint="eastAsia"/>
      </w:rPr>
    </w:lvl>
  </w:abstractNum>
  <w:abstractNum w:abstractNumId="5">
    <w:nsid w:val="00000003"/>
    <w:multiLevelType w:val="multilevel"/>
    <w:tmpl w:val="00000003"/>
    <w:lvl w:ilvl="0" w:tentative="0">
      <w:start w:val="1"/>
      <w:numFmt w:val="decimal"/>
      <w:lvlText w:val="%1"/>
      <w:lvlJc w:val="left"/>
      <w:pPr>
        <w:tabs>
          <w:tab w:val="left" w:pos="630"/>
        </w:tabs>
        <w:ind w:left="420" w:hanging="420"/>
      </w:pPr>
      <w:rPr>
        <w:rFonts w:hint="eastAsia"/>
      </w:rPr>
    </w:lvl>
    <w:lvl w:ilvl="1" w:tentative="0">
      <w:start w:val="1"/>
      <w:numFmt w:val="lowerLetter"/>
      <w:lvlText w:val="%2)"/>
      <w:lvlJc w:val="left"/>
      <w:pPr>
        <w:tabs>
          <w:tab w:val="left" w:pos="840"/>
        </w:tabs>
        <w:ind w:left="630" w:hanging="420"/>
      </w:pPr>
    </w:lvl>
    <w:lvl w:ilvl="2" w:tentative="0">
      <w:start w:val="1"/>
      <w:numFmt w:val="lowerRoman"/>
      <w:lvlText w:val="%3."/>
      <w:lvlJc w:val="right"/>
      <w:pPr>
        <w:tabs>
          <w:tab w:val="left" w:pos="1260"/>
        </w:tabs>
        <w:ind w:left="1050" w:hanging="420"/>
      </w:pPr>
    </w:lvl>
    <w:lvl w:ilvl="3" w:tentative="0">
      <w:start w:val="1"/>
      <w:numFmt w:val="decimal"/>
      <w:lvlText w:val="%4."/>
      <w:lvlJc w:val="left"/>
      <w:pPr>
        <w:tabs>
          <w:tab w:val="left" w:pos="1680"/>
        </w:tabs>
        <w:ind w:left="1470" w:hanging="420"/>
      </w:pPr>
    </w:lvl>
    <w:lvl w:ilvl="4" w:tentative="0">
      <w:start w:val="1"/>
      <w:numFmt w:val="lowerLetter"/>
      <w:lvlText w:val="%5)"/>
      <w:lvlJc w:val="left"/>
      <w:pPr>
        <w:tabs>
          <w:tab w:val="left" w:pos="2100"/>
        </w:tabs>
        <w:ind w:left="1890" w:hanging="420"/>
      </w:pPr>
    </w:lvl>
    <w:lvl w:ilvl="5" w:tentative="0">
      <w:start w:val="1"/>
      <w:numFmt w:val="lowerRoman"/>
      <w:lvlText w:val="%6."/>
      <w:lvlJc w:val="right"/>
      <w:pPr>
        <w:tabs>
          <w:tab w:val="left" w:pos="2520"/>
        </w:tabs>
        <w:ind w:left="2310" w:hanging="420"/>
      </w:pPr>
    </w:lvl>
    <w:lvl w:ilvl="6" w:tentative="0">
      <w:start w:val="1"/>
      <w:numFmt w:val="decimal"/>
      <w:lvlText w:val="%7."/>
      <w:lvlJc w:val="left"/>
      <w:pPr>
        <w:tabs>
          <w:tab w:val="left" w:pos="2940"/>
        </w:tabs>
        <w:ind w:left="2730" w:hanging="420"/>
      </w:pPr>
    </w:lvl>
    <w:lvl w:ilvl="7" w:tentative="0">
      <w:start w:val="1"/>
      <w:numFmt w:val="lowerLetter"/>
      <w:lvlText w:val="%8)"/>
      <w:lvlJc w:val="left"/>
      <w:pPr>
        <w:tabs>
          <w:tab w:val="left" w:pos="3360"/>
        </w:tabs>
        <w:ind w:left="3150" w:hanging="420"/>
      </w:pPr>
    </w:lvl>
    <w:lvl w:ilvl="8" w:tentative="0">
      <w:start w:val="1"/>
      <w:numFmt w:val="lowerRoman"/>
      <w:lvlText w:val="%9."/>
      <w:lvlJc w:val="right"/>
      <w:pPr>
        <w:tabs>
          <w:tab w:val="left" w:pos="3780"/>
        </w:tabs>
        <w:ind w:left="3570" w:hanging="420"/>
      </w:pPr>
    </w:lvl>
  </w:abstractNum>
  <w:abstractNum w:abstractNumId="6">
    <w:nsid w:val="0000001B"/>
    <w:multiLevelType w:val="multilevel"/>
    <w:tmpl w:val="0000001B"/>
    <w:lvl w:ilvl="0" w:tentative="0">
      <w:start w:val="1"/>
      <w:numFmt w:val="decimal"/>
      <w:lvlText w:val="%1."/>
      <w:lvlJc w:val="left"/>
      <w:pPr>
        <w:tabs>
          <w:tab w:val="left" w:pos="980"/>
        </w:tabs>
        <w:ind w:left="980" w:hanging="42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7">
    <w:nsid w:val="0000002B"/>
    <w:multiLevelType w:val="multilevel"/>
    <w:tmpl w:val="0000002B"/>
    <w:lvl w:ilvl="0" w:tentative="0">
      <w:start w:val="1"/>
      <w:numFmt w:val="decimal"/>
      <w:lvlText w:val="%1"/>
      <w:lvlJc w:val="left"/>
      <w:pPr>
        <w:tabs>
          <w:tab w:val="left" w:pos="630"/>
        </w:tabs>
        <w:ind w:left="630" w:hanging="420"/>
      </w:pPr>
      <w:rPr>
        <w:rFonts w:hint="eastAsia"/>
      </w:rPr>
    </w:lvl>
    <w:lvl w:ilvl="1" w:tentative="0">
      <w:start w:val="1"/>
      <w:numFmt w:val="lowerLetter"/>
      <w:lvlText w:val="%2)"/>
      <w:lvlJc w:val="left"/>
      <w:pPr>
        <w:tabs>
          <w:tab w:val="left" w:pos="937"/>
        </w:tabs>
        <w:ind w:left="937" w:hanging="420"/>
      </w:pPr>
    </w:lvl>
    <w:lvl w:ilvl="2" w:tentative="0">
      <w:start w:val="1"/>
      <w:numFmt w:val="lowerRoman"/>
      <w:lvlText w:val="%3."/>
      <w:lvlJc w:val="right"/>
      <w:pPr>
        <w:tabs>
          <w:tab w:val="left" w:pos="1357"/>
        </w:tabs>
        <w:ind w:left="1357" w:hanging="420"/>
      </w:pPr>
    </w:lvl>
    <w:lvl w:ilvl="3" w:tentative="0">
      <w:start w:val="1"/>
      <w:numFmt w:val="decimal"/>
      <w:lvlText w:val="%4."/>
      <w:lvlJc w:val="left"/>
      <w:pPr>
        <w:tabs>
          <w:tab w:val="left" w:pos="1777"/>
        </w:tabs>
        <w:ind w:left="1777" w:hanging="420"/>
      </w:pPr>
    </w:lvl>
    <w:lvl w:ilvl="4" w:tentative="0">
      <w:start w:val="1"/>
      <w:numFmt w:val="lowerLetter"/>
      <w:lvlText w:val="%5)"/>
      <w:lvlJc w:val="left"/>
      <w:pPr>
        <w:tabs>
          <w:tab w:val="left" w:pos="2197"/>
        </w:tabs>
        <w:ind w:left="2197" w:hanging="420"/>
      </w:pPr>
    </w:lvl>
    <w:lvl w:ilvl="5" w:tentative="0">
      <w:start w:val="1"/>
      <w:numFmt w:val="lowerRoman"/>
      <w:lvlText w:val="%6."/>
      <w:lvlJc w:val="right"/>
      <w:pPr>
        <w:tabs>
          <w:tab w:val="left" w:pos="2617"/>
        </w:tabs>
        <w:ind w:left="2617" w:hanging="420"/>
      </w:pPr>
    </w:lvl>
    <w:lvl w:ilvl="6" w:tentative="0">
      <w:start w:val="1"/>
      <w:numFmt w:val="decimal"/>
      <w:lvlText w:val="%7."/>
      <w:lvlJc w:val="left"/>
      <w:pPr>
        <w:tabs>
          <w:tab w:val="left" w:pos="3037"/>
        </w:tabs>
        <w:ind w:left="3037" w:hanging="420"/>
      </w:pPr>
    </w:lvl>
    <w:lvl w:ilvl="7" w:tentative="0">
      <w:start w:val="1"/>
      <w:numFmt w:val="lowerLetter"/>
      <w:lvlText w:val="%8)"/>
      <w:lvlJc w:val="left"/>
      <w:pPr>
        <w:tabs>
          <w:tab w:val="left" w:pos="3457"/>
        </w:tabs>
        <w:ind w:left="3457" w:hanging="420"/>
      </w:pPr>
    </w:lvl>
    <w:lvl w:ilvl="8" w:tentative="0">
      <w:start w:val="1"/>
      <w:numFmt w:val="lowerRoman"/>
      <w:lvlText w:val="%9."/>
      <w:lvlJc w:val="right"/>
      <w:pPr>
        <w:tabs>
          <w:tab w:val="left" w:pos="3877"/>
        </w:tabs>
        <w:ind w:left="3877" w:hanging="420"/>
      </w:pPr>
    </w:lvl>
  </w:abstractNum>
  <w:abstractNum w:abstractNumId="8">
    <w:nsid w:val="0DAEA1AE"/>
    <w:multiLevelType w:val="singleLevel"/>
    <w:tmpl w:val="0DAEA1AE"/>
    <w:lvl w:ilvl="0" w:tentative="0">
      <w:start w:val="1"/>
      <w:numFmt w:val="decimal"/>
      <w:lvlText w:val="%1"/>
      <w:lvlJc w:val="left"/>
      <w:pPr>
        <w:tabs>
          <w:tab w:val="left" w:pos="420"/>
        </w:tabs>
        <w:ind w:left="425" w:hanging="425"/>
      </w:pPr>
      <w:rPr>
        <w:rFonts w:hint="default"/>
      </w:rPr>
    </w:lvl>
  </w:abstractNum>
  <w:abstractNum w:abstractNumId="9">
    <w:nsid w:val="15C7A9E8"/>
    <w:multiLevelType w:val="singleLevel"/>
    <w:tmpl w:val="15C7A9E8"/>
    <w:lvl w:ilvl="0" w:tentative="0">
      <w:start w:val="1"/>
      <w:numFmt w:val="decimal"/>
      <w:lvlText w:val="%1"/>
      <w:lvlJc w:val="left"/>
      <w:pPr>
        <w:tabs>
          <w:tab w:val="left" w:pos="420"/>
        </w:tabs>
        <w:ind w:left="425" w:hanging="425"/>
      </w:pPr>
      <w:rPr>
        <w:rFonts w:hint="default"/>
      </w:rPr>
    </w:lvl>
  </w:abstractNum>
  <w:abstractNum w:abstractNumId="10">
    <w:nsid w:val="199E8EA7"/>
    <w:multiLevelType w:val="singleLevel"/>
    <w:tmpl w:val="199E8EA7"/>
    <w:lvl w:ilvl="0" w:tentative="0">
      <w:start w:val="1"/>
      <w:numFmt w:val="decimal"/>
      <w:lvlText w:val="%1"/>
      <w:lvlJc w:val="left"/>
      <w:pPr>
        <w:tabs>
          <w:tab w:val="left" w:pos="420"/>
        </w:tabs>
        <w:ind w:left="635" w:hanging="425"/>
      </w:pPr>
      <w:rPr>
        <w:rFonts w:hint="default"/>
      </w:rPr>
    </w:lvl>
  </w:abstractNum>
  <w:abstractNum w:abstractNumId="11">
    <w:nsid w:val="1F45A9D7"/>
    <w:multiLevelType w:val="singleLevel"/>
    <w:tmpl w:val="1F45A9D7"/>
    <w:lvl w:ilvl="0" w:tentative="0">
      <w:start w:val="1"/>
      <w:numFmt w:val="decimal"/>
      <w:suff w:val="nothing"/>
      <w:lvlText w:val="%1）"/>
      <w:lvlJc w:val="left"/>
    </w:lvl>
  </w:abstractNum>
  <w:abstractNum w:abstractNumId="12">
    <w:nsid w:val="1FC91163"/>
    <w:multiLevelType w:val="multilevel"/>
    <w:tmpl w:val="1FC91163"/>
    <w:lvl w:ilvl="0" w:tentative="0">
      <w:start w:val="1"/>
      <w:numFmt w:val="decimal"/>
      <w:pStyle w:val="12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19"/>
      <w:suff w:val="nothing"/>
      <w:lvlText w:val="%1.%2　"/>
      <w:lvlJc w:val="left"/>
      <w:pPr>
        <w:ind w:left="525" w:firstLine="0"/>
      </w:pPr>
      <w:rPr>
        <w:rFonts w:hint="eastAsia" w:ascii="黑体" w:hAnsi="Times New Roman" w:eastAsia="黑体" w:cs="Times New Roman"/>
        <w:b w:val="0"/>
        <w:bCs w:val="0"/>
        <w:i w:val="0"/>
        <w:iCs w:val="0"/>
        <w:caps w:val="0"/>
        <w:strike w:val="0"/>
        <w:dstrike w:val="0"/>
        <w:outline w:val="0"/>
        <w:shadow w:val="0"/>
        <w:emboss w:val="0"/>
        <w:imprint w:val="0"/>
        <w:vanish w:val="0"/>
        <w:color w:val="auto"/>
        <w:spacing w:val="0"/>
        <w:kern w:val="0"/>
        <w:position w:val="0"/>
        <w:sz w:val="21"/>
        <w:szCs w:val="21"/>
        <w:u w:val="none"/>
        <w:vertAlign w:val="baseline"/>
      </w:rPr>
    </w:lvl>
    <w:lvl w:ilvl="2" w:tentative="0">
      <w:start w:val="1"/>
      <w:numFmt w:val="decimal"/>
      <w:pStyle w:val="121"/>
      <w:suff w:val="nothing"/>
      <w:lvlText w:val="%1.%2.%3　"/>
      <w:lvlJc w:val="left"/>
      <w:pPr>
        <w:ind w:left="0" w:firstLine="0"/>
      </w:pPr>
      <w:rPr>
        <w:rFonts w:hint="eastAsia" w:ascii="黑体" w:hAnsi="Times New Roman" w:eastAsia="黑体"/>
        <w:b w:val="0"/>
        <w:i w:val="0"/>
        <w:sz w:val="21"/>
      </w:rPr>
    </w:lvl>
    <w:lvl w:ilvl="3" w:tentative="0">
      <w:start w:val="1"/>
      <w:numFmt w:val="decimal"/>
      <w:pStyle w:val="122"/>
      <w:suff w:val="nothing"/>
      <w:lvlText w:val="%1.%2.%3.%4　"/>
      <w:lvlJc w:val="left"/>
      <w:pPr>
        <w:ind w:left="0" w:firstLine="0"/>
      </w:pPr>
      <w:rPr>
        <w:rFonts w:hint="eastAsia" w:ascii="黑体" w:hAnsi="Times New Roman" w:eastAsia="黑体"/>
        <w:b w:val="0"/>
        <w:i w:val="0"/>
        <w:sz w:val="21"/>
      </w:rPr>
    </w:lvl>
    <w:lvl w:ilvl="4" w:tentative="0">
      <w:start w:val="1"/>
      <w:numFmt w:val="decimal"/>
      <w:pStyle w:val="123"/>
      <w:suff w:val="nothing"/>
      <w:lvlText w:val="%1.%2.%3.%4.%5　"/>
      <w:lvlJc w:val="left"/>
      <w:pPr>
        <w:ind w:left="0" w:firstLine="0"/>
      </w:pPr>
      <w:rPr>
        <w:rFonts w:hint="eastAsia" w:ascii="黑体" w:hAnsi="Times New Roman" w:eastAsia="黑体"/>
        <w:b w:val="0"/>
        <w:i w:val="0"/>
        <w:sz w:val="21"/>
      </w:rPr>
    </w:lvl>
    <w:lvl w:ilvl="5" w:tentative="0">
      <w:start w:val="1"/>
      <w:numFmt w:val="decimal"/>
      <w:pStyle w:val="12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226D3F3E"/>
    <w:multiLevelType w:val="singleLevel"/>
    <w:tmpl w:val="226D3F3E"/>
    <w:lvl w:ilvl="0" w:tentative="0">
      <w:start w:val="1"/>
      <w:numFmt w:val="decimal"/>
      <w:lvlText w:val="%1"/>
      <w:lvlJc w:val="center"/>
      <w:pPr>
        <w:tabs>
          <w:tab w:val="left" w:pos="0"/>
        </w:tabs>
        <w:ind w:left="210" w:firstLine="0"/>
      </w:pPr>
      <w:rPr>
        <w:rFonts w:hint="default"/>
      </w:rPr>
    </w:lvl>
  </w:abstractNum>
  <w:abstractNum w:abstractNumId="14">
    <w:nsid w:val="23FDCC61"/>
    <w:multiLevelType w:val="singleLevel"/>
    <w:tmpl w:val="23FDCC61"/>
    <w:lvl w:ilvl="0" w:tentative="0">
      <w:start w:val="1"/>
      <w:numFmt w:val="decimal"/>
      <w:suff w:val="nothing"/>
      <w:lvlText w:val="%1"/>
      <w:lvlJc w:val="left"/>
      <w:pPr>
        <w:ind w:left="-403" w:firstLine="403"/>
      </w:pPr>
      <w:rPr>
        <w:rFonts w:hint="default"/>
      </w:rPr>
    </w:lvl>
  </w:abstractNum>
  <w:abstractNum w:abstractNumId="15">
    <w:nsid w:val="406D59ED"/>
    <w:multiLevelType w:val="multilevel"/>
    <w:tmpl w:val="406D59ED"/>
    <w:lvl w:ilvl="0" w:tentative="0">
      <w:start w:val="1"/>
      <w:numFmt w:val="decimal"/>
      <w:lvlText w:val="%1."/>
      <w:lvlJc w:val="center"/>
      <w:pPr>
        <w:tabs>
          <w:tab w:val="left" w:pos="567"/>
        </w:tabs>
        <w:ind w:left="0" w:firstLine="567"/>
      </w:pPr>
      <w:rPr>
        <w:strike w:val="0"/>
        <w:dstrike w:val="0"/>
        <w:color w:val="auto"/>
        <w:spacing w:val="0"/>
        <w:w w:val="100"/>
        <w:kern w:val="10"/>
        <w:position w:val="0"/>
        <w:sz w:val="28"/>
        <w:szCs w:val="28"/>
        <w:u w:val="none"/>
      </w:rPr>
    </w:lvl>
    <w:lvl w:ilvl="1" w:tentative="0">
      <w:start w:val="1"/>
      <w:numFmt w:val="lowerLetter"/>
      <w:lvlText w:val="%2)"/>
      <w:lvlJc w:val="left"/>
      <w:pPr>
        <w:tabs>
          <w:tab w:val="left" w:pos="846"/>
        </w:tabs>
        <w:ind w:left="846" w:hanging="420"/>
      </w:pPr>
    </w:lvl>
    <w:lvl w:ilvl="2" w:tentative="0">
      <w:start w:val="2"/>
      <w:numFmt w:val="decimal"/>
      <w:lvlText w:val="%3．"/>
      <w:lvlJc w:val="left"/>
      <w:pPr>
        <w:tabs>
          <w:tab w:val="left" w:pos="1560"/>
        </w:tabs>
        <w:ind w:left="1560" w:hanging="720"/>
      </w:p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15E3BDF"/>
    <w:multiLevelType w:val="multilevel"/>
    <w:tmpl w:val="515E3BDF"/>
    <w:lvl w:ilvl="0" w:tentative="0">
      <w:start w:val="1"/>
      <w:numFmt w:val="decimal"/>
      <w:lvlText w:val="%1."/>
      <w:lvlJc w:val="left"/>
      <w:pPr>
        <w:tabs>
          <w:tab w:val="left" w:pos="980"/>
        </w:tabs>
        <w:ind w:left="1050" w:hanging="42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7">
    <w:nsid w:val="67C165F3"/>
    <w:multiLevelType w:val="singleLevel"/>
    <w:tmpl w:val="67C165F3"/>
    <w:lvl w:ilvl="0" w:tentative="0">
      <w:start w:val="1"/>
      <w:numFmt w:val="decimal"/>
      <w:lvlText w:val="%1."/>
      <w:lvlJc w:val="left"/>
      <w:pPr>
        <w:tabs>
          <w:tab w:val="left" w:pos="312"/>
        </w:tabs>
      </w:pPr>
    </w:lvl>
  </w:abstractNum>
  <w:abstractNum w:abstractNumId="18">
    <w:nsid w:val="78790A5C"/>
    <w:multiLevelType w:val="singleLevel"/>
    <w:tmpl w:val="78790A5C"/>
    <w:lvl w:ilvl="0" w:tentative="0">
      <w:start w:val="1"/>
      <w:numFmt w:val="decimal"/>
      <w:lvlText w:val="%1."/>
      <w:lvlJc w:val="left"/>
      <w:pPr>
        <w:tabs>
          <w:tab w:val="left" w:pos="312"/>
        </w:tabs>
      </w:pPr>
    </w:lvl>
  </w:abstractNum>
  <w:num w:numId="1">
    <w:abstractNumId w:val="12"/>
  </w:num>
  <w:num w:numId="2">
    <w:abstractNumId w:val="16"/>
  </w:num>
  <w:num w:numId="3">
    <w:abstractNumId w:val="15"/>
  </w:num>
  <w:num w:numId="4">
    <w:abstractNumId w:val="6"/>
  </w:num>
  <w:num w:numId="5">
    <w:abstractNumId w:val="0"/>
  </w:num>
  <w:num w:numId="6">
    <w:abstractNumId w:val="14"/>
  </w:num>
  <w:num w:numId="7">
    <w:abstractNumId w:val="4"/>
  </w:num>
  <w:num w:numId="8">
    <w:abstractNumId w:val="9"/>
  </w:num>
  <w:num w:numId="9">
    <w:abstractNumId w:val="13"/>
  </w:num>
  <w:num w:numId="10">
    <w:abstractNumId w:val="17"/>
  </w:num>
  <w:num w:numId="11">
    <w:abstractNumId w:val="10"/>
  </w:num>
  <w:num w:numId="12">
    <w:abstractNumId w:val="18"/>
  </w:num>
  <w:num w:numId="13">
    <w:abstractNumId w:val="7"/>
  </w:num>
  <w:num w:numId="14">
    <w:abstractNumId w:val="1"/>
  </w:num>
  <w:num w:numId="15">
    <w:abstractNumId w:val="8"/>
  </w:num>
  <w:num w:numId="16">
    <w:abstractNumId w:val="2"/>
  </w:num>
  <w:num w:numId="17">
    <w:abstractNumId w:val="11"/>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210"/>
  <w:drawingGridVerticalSpacing w:val="158"/>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3NmI5OWQ2M2M3ODMxZmNlNzdmYWUzM2Y3MDQ4YjcifQ=="/>
  </w:docVars>
  <w:rsids>
    <w:rsidRoot w:val="00750FC2"/>
    <w:rsid w:val="00000D04"/>
    <w:rsid w:val="000012AE"/>
    <w:rsid w:val="00015051"/>
    <w:rsid w:val="00015169"/>
    <w:rsid w:val="000200C8"/>
    <w:rsid w:val="000214EA"/>
    <w:rsid w:val="000218A4"/>
    <w:rsid w:val="00027303"/>
    <w:rsid w:val="000338F8"/>
    <w:rsid w:val="00033D22"/>
    <w:rsid w:val="000344CC"/>
    <w:rsid w:val="00040FB0"/>
    <w:rsid w:val="00045386"/>
    <w:rsid w:val="000529AD"/>
    <w:rsid w:val="000610A0"/>
    <w:rsid w:val="00065AFC"/>
    <w:rsid w:val="0008714D"/>
    <w:rsid w:val="00090BED"/>
    <w:rsid w:val="00096280"/>
    <w:rsid w:val="000A0A2C"/>
    <w:rsid w:val="000A51EF"/>
    <w:rsid w:val="000E1385"/>
    <w:rsid w:val="000E3A55"/>
    <w:rsid w:val="000E4F7E"/>
    <w:rsid w:val="000F4A32"/>
    <w:rsid w:val="000F647E"/>
    <w:rsid w:val="00103084"/>
    <w:rsid w:val="00106E61"/>
    <w:rsid w:val="00111E00"/>
    <w:rsid w:val="00123198"/>
    <w:rsid w:val="00131AF9"/>
    <w:rsid w:val="00132697"/>
    <w:rsid w:val="00136FED"/>
    <w:rsid w:val="00137D89"/>
    <w:rsid w:val="00141FC4"/>
    <w:rsid w:val="0014247F"/>
    <w:rsid w:val="00144249"/>
    <w:rsid w:val="00151121"/>
    <w:rsid w:val="00151E32"/>
    <w:rsid w:val="00157CF1"/>
    <w:rsid w:val="00173673"/>
    <w:rsid w:val="00174B86"/>
    <w:rsid w:val="00180230"/>
    <w:rsid w:val="00181A7E"/>
    <w:rsid w:val="00182E03"/>
    <w:rsid w:val="001868E3"/>
    <w:rsid w:val="00187919"/>
    <w:rsid w:val="001952A0"/>
    <w:rsid w:val="00197865"/>
    <w:rsid w:val="001A337C"/>
    <w:rsid w:val="001A5F5D"/>
    <w:rsid w:val="001B7300"/>
    <w:rsid w:val="001C2920"/>
    <w:rsid w:val="001C414D"/>
    <w:rsid w:val="001D27AD"/>
    <w:rsid w:val="001D7EED"/>
    <w:rsid w:val="001E490D"/>
    <w:rsid w:val="001F3BCC"/>
    <w:rsid w:val="001F6833"/>
    <w:rsid w:val="002009DE"/>
    <w:rsid w:val="002075A8"/>
    <w:rsid w:val="00213884"/>
    <w:rsid w:val="00222712"/>
    <w:rsid w:val="00223B33"/>
    <w:rsid w:val="00224C0C"/>
    <w:rsid w:val="002345ED"/>
    <w:rsid w:val="00240E8E"/>
    <w:rsid w:val="002423F5"/>
    <w:rsid w:val="002444F7"/>
    <w:rsid w:val="00245828"/>
    <w:rsid w:val="00245B5F"/>
    <w:rsid w:val="0025182B"/>
    <w:rsid w:val="00263B55"/>
    <w:rsid w:val="0026444A"/>
    <w:rsid w:val="00264524"/>
    <w:rsid w:val="00277784"/>
    <w:rsid w:val="002805DF"/>
    <w:rsid w:val="00284021"/>
    <w:rsid w:val="00284105"/>
    <w:rsid w:val="00285997"/>
    <w:rsid w:val="0028652C"/>
    <w:rsid w:val="00290DB0"/>
    <w:rsid w:val="0029129C"/>
    <w:rsid w:val="00293EEA"/>
    <w:rsid w:val="00296B88"/>
    <w:rsid w:val="002A5387"/>
    <w:rsid w:val="002A6AC6"/>
    <w:rsid w:val="002B1F8C"/>
    <w:rsid w:val="002B2B6A"/>
    <w:rsid w:val="002B4309"/>
    <w:rsid w:val="002B775F"/>
    <w:rsid w:val="002C44A8"/>
    <w:rsid w:val="002C62EF"/>
    <w:rsid w:val="002D0D38"/>
    <w:rsid w:val="002D150B"/>
    <w:rsid w:val="003013AF"/>
    <w:rsid w:val="0033129D"/>
    <w:rsid w:val="00340843"/>
    <w:rsid w:val="003413EB"/>
    <w:rsid w:val="00344F3A"/>
    <w:rsid w:val="00345D2D"/>
    <w:rsid w:val="00350A1C"/>
    <w:rsid w:val="00351FFB"/>
    <w:rsid w:val="003548CF"/>
    <w:rsid w:val="00376C61"/>
    <w:rsid w:val="00385FE7"/>
    <w:rsid w:val="00386948"/>
    <w:rsid w:val="0038702B"/>
    <w:rsid w:val="00391FD2"/>
    <w:rsid w:val="003921A3"/>
    <w:rsid w:val="003A2A96"/>
    <w:rsid w:val="003A79BF"/>
    <w:rsid w:val="003B0C56"/>
    <w:rsid w:val="003C68DA"/>
    <w:rsid w:val="003C6EA0"/>
    <w:rsid w:val="003D0641"/>
    <w:rsid w:val="003D17B8"/>
    <w:rsid w:val="003D1E6B"/>
    <w:rsid w:val="003D2D49"/>
    <w:rsid w:val="003D3882"/>
    <w:rsid w:val="003D79F7"/>
    <w:rsid w:val="003E12DE"/>
    <w:rsid w:val="003E18E4"/>
    <w:rsid w:val="003E3990"/>
    <w:rsid w:val="003E3D93"/>
    <w:rsid w:val="003F37DA"/>
    <w:rsid w:val="003F4A64"/>
    <w:rsid w:val="003F719A"/>
    <w:rsid w:val="004024EB"/>
    <w:rsid w:val="00404F5E"/>
    <w:rsid w:val="0040704F"/>
    <w:rsid w:val="004126E8"/>
    <w:rsid w:val="00412AB8"/>
    <w:rsid w:val="00412E38"/>
    <w:rsid w:val="00427013"/>
    <w:rsid w:val="00433FA9"/>
    <w:rsid w:val="00441CA9"/>
    <w:rsid w:val="00441F3D"/>
    <w:rsid w:val="0044370A"/>
    <w:rsid w:val="00445235"/>
    <w:rsid w:val="00450F0A"/>
    <w:rsid w:val="00454FA0"/>
    <w:rsid w:val="00456CFE"/>
    <w:rsid w:val="00461CDD"/>
    <w:rsid w:val="00473E09"/>
    <w:rsid w:val="00485147"/>
    <w:rsid w:val="00485A1D"/>
    <w:rsid w:val="004940E5"/>
    <w:rsid w:val="004A0CFC"/>
    <w:rsid w:val="004A714C"/>
    <w:rsid w:val="004B17B3"/>
    <w:rsid w:val="004B4B61"/>
    <w:rsid w:val="004C08BF"/>
    <w:rsid w:val="004C3E88"/>
    <w:rsid w:val="004C489C"/>
    <w:rsid w:val="004E0130"/>
    <w:rsid w:val="004E1F5F"/>
    <w:rsid w:val="004F0C7D"/>
    <w:rsid w:val="005070F8"/>
    <w:rsid w:val="00520780"/>
    <w:rsid w:val="005250BF"/>
    <w:rsid w:val="00527230"/>
    <w:rsid w:val="00535F30"/>
    <w:rsid w:val="005367D2"/>
    <w:rsid w:val="00550DDE"/>
    <w:rsid w:val="005536A2"/>
    <w:rsid w:val="005575CC"/>
    <w:rsid w:val="00566AD2"/>
    <w:rsid w:val="005717FB"/>
    <w:rsid w:val="00572084"/>
    <w:rsid w:val="00573F96"/>
    <w:rsid w:val="0059558D"/>
    <w:rsid w:val="00595CC4"/>
    <w:rsid w:val="005A181C"/>
    <w:rsid w:val="005B50B8"/>
    <w:rsid w:val="005B7569"/>
    <w:rsid w:val="005C049C"/>
    <w:rsid w:val="005C1325"/>
    <w:rsid w:val="005C1C9F"/>
    <w:rsid w:val="005C26CD"/>
    <w:rsid w:val="005D5AF6"/>
    <w:rsid w:val="005D6B30"/>
    <w:rsid w:val="005E00DB"/>
    <w:rsid w:val="005E1306"/>
    <w:rsid w:val="005E4C4D"/>
    <w:rsid w:val="005E5453"/>
    <w:rsid w:val="005E6DF9"/>
    <w:rsid w:val="005E7E1D"/>
    <w:rsid w:val="005F48DF"/>
    <w:rsid w:val="0060015F"/>
    <w:rsid w:val="00603708"/>
    <w:rsid w:val="006067C2"/>
    <w:rsid w:val="006077EC"/>
    <w:rsid w:val="006107B7"/>
    <w:rsid w:val="00616C00"/>
    <w:rsid w:val="00620632"/>
    <w:rsid w:val="00622700"/>
    <w:rsid w:val="00625A30"/>
    <w:rsid w:val="006351D2"/>
    <w:rsid w:val="00641198"/>
    <w:rsid w:val="00644FA8"/>
    <w:rsid w:val="00650661"/>
    <w:rsid w:val="006546DE"/>
    <w:rsid w:val="00654A0E"/>
    <w:rsid w:val="0065598C"/>
    <w:rsid w:val="006574FC"/>
    <w:rsid w:val="00670057"/>
    <w:rsid w:val="00683DB5"/>
    <w:rsid w:val="006862F5"/>
    <w:rsid w:val="006864EA"/>
    <w:rsid w:val="006909BD"/>
    <w:rsid w:val="00696F49"/>
    <w:rsid w:val="006A0E63"/>
    <w:rsid w:val="006B17E5"/>
    <w:rsid w:val="006B2E3D"/>
    <w:rsid w:val="006B58BE"/>
    <w:rsid w:val="006B6BCF"/>
    <w:rsid w:val="006C1664"/>
    <w:rsid w:val="006E0270"/>
    <w:rsid w:val="006E0645"/>
    <w:rsid w:val="006E6D82"/>
    <w:rsid w:val="006E779A"/>
    <w:rsid w:val="006F0FD3"/>
    <w:rsid w:val="006F6412"/>
    <w:rsid w:val="00715B84"/>
    <w:rsid w:val="00715FC0"/>
    <w:rsid w:val="0071767C"/>
    <w:rsid w:val="00722A10"/>
    <w:rsid w:val="0072592A"/>
    <w:rsid w:val="007272B5"/>
    <w:rsid w:val="0073165D"/>
    <w:rsid w:val="00731D56"/>
    <w:rsid w:val="007338AC"/>
    <w:rsid w:val="00734DC3"/>
    <w:rsid w:val="00735620"/>
    <w:rsid w:val="00750FC2"/>
    <w:rsid w:val="00751916"/>
    <w:rsid w:val="0075601E"/>
    <w:rsid w:val="0076248C"/>
    <w:rsid w:val="00770773"/>
    <w:rsid w:val="00773DF5"/>
    <w:rsid w:val="00774E56"/>
    <w:rsid w:val="00780A9B"/>
    <w:rsid w:val="0078616C"/>
    <w:rsid w:val="007A14F3"/>
    <w:rsid w:val="007A34DD"/>
    <w:rsid w:val="007A54E3"/>
    <w:rsid w:val="007A6019"/>
    <w:rsid w:val="007B5D46"/>
    <w:rsid w:val="007B7553"/>
    <w:rsid w:val="007B7D6A"/>
    <w:rsid w:val="007C07FF"/>
    <w:rsid w:val="007C6060"/>
    <w:rsid w:val="007C620F"/>
    <w:rsid w:val="007E79C9"/>
    <w:rsid w:val="007F1DCB"/>
    <w:rsid w:val="007F34F6"/>
    <w:rsid w:val="008063E4"/>
    <w:rsid w:val="0081016D"/>
    <w:rsid w:val="0081112B"/>
    <w:rsid w:val="00811C80"/>
    <w:rsid w:val="00815FF9"/>
    <w:rsid w:val="008160ED"/>
    <w:rsid w:val="0082232C"/>
    <w:rsid w:val="0082448F"/>
    <w:rsid w:val="008249BC"/>
    <w:rsid w:val="00835092"/>
    <w:rsid w:val="008456D9"/>
    <w:rsid w:val="0085122E"/>
    <w:rsid w:val="00852DFD"/>
    <w:rsid w:val="00857CA2"/>
    <w:rsid w:val="00862B96"/>
    <w:rsid w:val="008633A5"/>
    <w:rsid w:val="00863C94"/>
    <w:rsid w:val="00870E89"/>
    <w:rsid w:val="00873318"/>
    <w:rsid w:val="008778FB"/>
    <w:rsid w:val="0088131B"/>
    <w:rsid w:val="008842F7"/>
    <w:rsid w:val="00887D77"/>
    <w:rsid w:val="00890B9C"/>
    <w:rsid w:val="00891970"/>
    <w:rsid w:val="00894CC4"/>
    <w:rsid w:val="008A2075"/>
    <w:rsid w:val="008A3070"/>
    <w:rsid w:val="008A3A62"/>
    <w:rsid w:val="008A785E"/>
    <w:rsid w:val="008B24DE"/>
    <w:rsid w:val="008B377A"/>
    <w:rsid w:val="008C56A9"/>
    <w:rsid w:val="008D0319"/>
    <w:rsid w:val="008D78E0"/>
    <w:rsid w:val="008E2113"/>
    <w:rsid w:val="008E2578"/>
    <w:rsid w:val="008F0C23"/>
    <w:rsid w:val="008F2ECE"/>
    <w:rsid w:val="008F6E97"/>
    <w:rsid w:val="008F736C"/>
    <w:rsid w:val="00911614"/>
    <w:rsid w:val="0091241D"/>
    <w:rsid w:val="00930E1E"/>
    <w:rsid w:val="00931070"/>
    <w:rsid w:val="00931802"/>
    <w:rsid w:val="00937D43"/>
    <w:rsid w:val="00940C39"/>
    <w:rsid w:val="0094697C"/>
    <w:rsid w:val="0096149C"/>
    <w:rsid w:val="00962705"/>
    <w:rsid w:val="00966A77"/>
    <w:rsid w:val="0098035A"/>
    <w:rsid w:val="00980594"/>
    <w:rsid w:val="00983AC3"/>
    <w:rsid w:val="00985F9A"/>
    <w:rsid w:val="009972F9"/>
    <w:rsid w:val="009A071A"/>
    <w:rsid w:val="009A5E9C"/>
    <w:rsid w:val="009A5F19"/>
    <w:rsid w:val="009A786D"/>
    <w:rsid w:val="009B25D4"/>
    <w:rsid w:val="009B3389"/>
    <w:rsid w:val="009B3913"/>
    <w:rsid w:val="009C4980"/>
    <w:rsid w:val="009D1CDC"/>
    <w:rsid w:val="009D5EC9"/>
    <w:rsid w:val="009D796D"/>
    <w:rsid w:val="009F083F"/>
    <w:rsid w:val="009F232E"/>
    <w:rsid w:val="009F34A2"/>
    <w:rsid w:val="00A202E1"/>
    <w:rsid w:val="00A25FFE"/>
    <w:rsid w:val="00A404A0"/>
    <w:rsid w:val="00A40F2E"/>
    <w:rsid w:val="00A41934"/>
    <w:rsid w:val="00A46C99"/>
    <w:rsid w:val="00A50400"/>
    <w:rsid w:val="00A5127F"/>
    <w:rsid w:val="00A564C8"/>
    <w:rsid w:val="00A60A8D"/>
    <w:rsid w:val="00A679EC"/>
    <w:rsid w:val="00A73080"/>
    <w:rsid w:val="00A87888"/>
    <w:rsid w:val="00A87A60"/>
    <w:rsid w:val="00A90973"/>
    <w:rsid w:val="00A9515A"/>
    <w:rsid w:val="00AA01F1"/>
    <w:rsid w:val="00AA29EA"/>
    <w:rsid w:val="00AA2D3E"/>
    <w:rsid w:val="00AA3A57"/>
    <w:rsid w:val="00AA412A"/>
    <w:rsid w:val="00AA6280"/>
    <w:rsid w:val="00AB077E"/>
    <w:rsid w:val="00AB5400"/>
    <w:rsid w:val="00AB6FB8"/>
    <w:rsid w:val="00AC54D6"/>
    <w:rsid w:val="00AD3467"/>
    <w:rsid w:val="00AE38ED"/>
    <w:rsid w:val="00AE6DE9"/>
    <w:rsid w:val="00AE782D"/>
    <w:rsid w:val="00B00F48"/>
    <w:rsid w:val="00B01EAA"/>
    <w:rsid w:val="00B0389B"/>
    <w:rsid w:val="00B10B0C"/>
    <w:rsid w:val="00B14968"/>
    <w:rsid w:val="00B220C9"/>
    <w:rsid w:val="00B2793E"/>
    <w:rsid w:val="00B310F6"/>
    <w:rsid w:val="00B312E6"/>
    <w:rsid w:val="00B34704"/>
    <w:rsid w:val="00B40104"/>
    <w:rsid w:val="00B5039A"/>
    <w:rsid w:val="00B547E8"/>
    <w:rsid w:val="00B638C4"/>
    <w:rsid w:val="00B71562"/>
    <w:rsid w:val="00B82120"/>
    <w:rsid w:val="00B9073B"/>
    <w:rsid w:val="00B93338"/>
    <w:rsid w:val="00B94BF0"/>
    <w:rsid w:val="00BA4B3F"/>
    <w:rsid w:val="00BB7E42"/>
    <w:rsid w:val="00BC3883"/>
    <w:rsid w:val="00BC5320"/>
    <w:rsid w:val="00BD0A3B"/>
    <w:rsid w:val="00BD216D"/>
    <w:rsid w:val="00BD23C3"/>
    <w:rsid w:val="00BE15FB"/>
    <w:rsid w:val="00BF5CF2"/>
    <w:rsid w:val="00C00DE0"/>
    <w:rsid w:val="00C116CB"/>
    <w:rsid w:val="00C170DB"/>
    <w:rsid w:val="00C203DF"/>
    <w:rsid w:val="00C27A5C"/>
    <w:rsid w:val="00C3656C"/>
    <w:rsid w:val="00C46406"/>
    <w:rsid w:val="00C53B8D"/>
    <w:rsid w:val="00C65616"/>
    <w:rsid w:val="00C7122E"/>
    <w:rsid w:val="00C71F40"/>
    <w:rsid w:val="00C75FC9"/>
    <w:rsid w:val="00C81C03"/>
    <w:rsid w:val="00C85D8C"/>
    <w:rsid w:val="00C86862"/>
    <w:rsid w:val="00C900C8"/>
    <w:rsid w:val="00C97327"/>
    <w:rsid w:val="00CA187E"/>
    <w:rsid w:val="00CA2EC7"/>
    <w:rsid w:val="00CA5764"/>
    <w:rsid w:val="00CA7D0D"/>
    <w:rsid w:val="00CB57F4"/>
    <w:rsid w:val="00CB5EDB"/>
    <w:rsid w:val="00CD2573"/>
    <w:rsid w:val="00CE6B5C"/>
    <w:rsid w:val="00CF4CDE"/>
    <w:rsid w:val="00CF6261"/>
    <w:rsid w:val="00CF7E7C"/>
    <w:rsid w:val="00D007B8"/>
    <w:rsid w:val="00D00D67"/>
    <w:rsid w:val="00D10D13"/>
    <w:rsid w:val="00D10D3D"/>
    <w:rsid w:val="00D2150E"/>
    <w:rsid w:val="00D22C58"/>
    <w:rsid w:val="00D23690"/>
    <w:rsid w:val="00D26601"/>
    <w:rsid w:val="00D412BE"/>
    <w:rsid w:val="00D43F12"/>
    <w:rsid w:val="00D50280"/>
    <w:rsid w:val="00D54063"/>
    <w:rsid w:val="00D64436"/>
    <w:rsid w:val="00D65661"/>
    <w:rsid w:val="00D704A8"/>
    <w:rsid w:val="00D70A33"/>
    <w:rsid w:val="00D72B69"/>
    <w:rsid w:val="00D75ED6"/>
    <w:rsid w:val="00D800BF"/>
    <w:rsid w:val="00D8042A"/>
    <w:rsid w:val="00D83FA2"/>
    <w:rsid w:val="00D8624E"/>
    <w:rsid w:val="00D9168C"/>
    <w:rsid w:val="00DB0EE6"/>
    <w:rsid w:val="00DB333C"/>
    <w:rsid w:val="00DB5DA9"/>
    <w:rsid w:val="00DD1D2D"/>
    <w:rsid w:val="00DD411D"/>
    <w:rsid w:val="00DD4F90"/>
    <w:rsid w:val="00DE06A2"/>
    <w:rsid w:val="00DE4926"/>
    <w:rsid w:val="00DE7802"/>
    <w:rsid w:val="00DF0393"/>
    <w:rsid w:val="00DF1DBD"/>
    <w:rsid w:val="00DF4C8F"/>
    <w:rsid w:val="00DF5692"/>
    <w:rsid w:val="00E0311E"/>
    <w:rsid w:val="00E177F4"/>
    <w:rsid w:val="00E21E2D"/>
    <w:rsid w:val="00E27427"/>
    <w:rsid w:val="00E3427F"/>
    <w:rsid w:val="00E34E9C"/>
    <w:rsid w:val="00E412A5"/>
    <w:rsid w:val="00E55179"/>
    <w:rsid w:val="00E650A7"/>
    <w:rsid w:val="00E71E62"/>
    <w:rsid w:val="00E71E9B"/>
    <w:rsid w:val="00E75F31"/>
    <w:rsid w:val="00E80A5F"/>
    <w:rsid w:val="00E82318"/>
    <w:rsid w:val="00E92DB4"/>
    <w:rsid w:val="00E9690D"/>
    <w:rsid w:val="00E972CC"/>
    <w:rsid w:val="00E97DDA"/>
    <w:rsid w:val="00EA2E11"/>
    <w:rsid w:val="00EA3F9D"/>
    <w:rsid w:val="00EA6E9F"/>
    <w:rsid w:val="00EC300F"/>
    <w:rsid w:val="00EC3C82"/>
    <w:rsid w:val="00EC6EB7"/>
    <w:rsid w:val="00ED0863"/>
    <w:rsid w:val="00ED0ABD"/>
    <w:rsid w:val="00ED2A1E"/>
    <w:rsid w:val="00ED723A"/>
    <w:rsid w:val="00EF0CEC"/>
    <w:rsid w:val="00EF5F80"/>
    <w:rsid w:val="00F031A1"/>
    <w:rsid w:val="00F05183"/>
    <w:rsid w:val="00F22E3D"/>
    <w:rsid w:val="00F25A34"/>
    <w:rsid w:val="00F27DA9"/>
    <w:rsid w:val="00F4401E"/>
    <w:rsid w:val="00F45B28"/>
    <w:rsid w:val="00F46E5A"/>
    <w:rsid w:val="00F53E7A"/>
    <w:rsid w:val="00F70EE2"/>
    <w:rsid w:val="00F71AE3"/>
    <w:rsid w:val="00F75D6E"/>
    <w:rsid w:val="00F872F6"/>
    <w:rsid w:val="00F9376F"/>
    <w:rsid w:val="00FA1892"/>
    <w:rsid w:val="00FA4FDC"/>
    <w:rsid w:val="00FB2A15"/>
    <w:rsid w:val="00FC27AE"/>
    <w:rsid w:val="00FD3D84"/>
    <w:rsid w:val="00FE3F21"/>
    <w:rsid w:val="00FE7610"/>
    <w:rsid w:val="00FF2591"/>
    <w:rsid w:val="00FF4B02"/>
    <w:rsid w:val="00FF5CC1"/>
    <w:rsid w:val="00FF6E72"/>
    <w:rsid w:val="01545BA5"/>
    <w:rsid w:val="01791DD6"/>
    <w:rsid w:val="01A52705"/>
    <w:rsid w:val="01B976C9"/>
    <w:rsid w:val="01DD481D"/>
    <w:rsid w:val="01DF431D"/>
    <w:rsid w:val="020B3317"/>
    <w:rsid w:val="022329B4"/>
    <w:rsid w:val="024352D2"/>
    <w:rsid w:val="0254271D"/>
    <w:rsid w:val="027051C4"/>
    <w:rsid w:val="0293184C"/>
    <w:rsid w:val="029B4188"/>
    <w:rsid w:val="02B51452"/>
    <w:rsid w:val="02D50E22"/>
    <w:rsid w:val="02FA2405"/>
    <w:rsid w:val="031806CC"/>
    <w:rsid w:val="03211584"/>
    <w:rsid w:val="033B684E"/>
    <w:rsid w:val="039C354B"/>
    <w:rsid w:val="03C54999"/>
    <w:rsid w:val="03F766B9"/>
    <w:rsid w:val="04081353"/>
    <w:rsid w:val="04496D54"/>
    <w:rsid w:val="04F27F9E"/>
    <w:rsid w:val="05542840"/>
    <w:rsid w:val="0571711E"/>
    <w:rsid w:val="059B6B94"/>
    <w:rsid w:val="05B07FF0"/>
    <w:rsid w:val="05B62A9B"/>
    <w:rsid w:val="05EE0503"/>
    <w:rsid w:val="05FF00AA"/>
    <w:rsid w:val="06026BAA"/>
    <w:rsid w:val="06544E78"/>
    <w:rsid w:val="06552311"/>
    <w:rsid w:val="06804B3F"/>
    <w:rsid w:val="0698467B"/>
    <w:rsid w:val="06E57A7B"/>
    <w:rsid w:val="071A149F"/>
    <w:rsid w:val="072A3E74"/>
    <w:rsid w:val="07397B77"/>
    <w:rsid w:val="075F5104"/>
    <w:rsid w:val="07ED0B0D"/>
    <w:rsid w:val="07FA2628"/>
    <w:rsid w:val="083E789A"/>
    <w:rsid w:val="08421031"/>
    <w:rsid w:val="085C2CF1"/>
    <w:rsid w:val="08763758"/>
    <w:rsid w:val="08A714E1"/>
    <w:rsid w:val="09057379"/>
    <w:rsid w:val="09093579"/>
    <w:rsid w:val="091A63A3"/>
    <w:rsid w:val="093C22DF"/>
    <w:rsid w:val="094271C0"/>
    <w:rsid w:val="095820D4"/>
    <w:rsid w:val="09646EE5"/>
    <w:rsid w:val="097E6A0C"/>
    <w:rsid w:val="09AD7FCC"/>
    <w:rsid w:val="09C7225D"/>
    <w:rsid w:val="0A0D30D6"/>
    <w:rsid w:val="0A175A89"/>
    <w:rsid w:val="0A1D606B"/>
    <w:rsid w:val="0A72649D"/>
    <w:rsid w:val="0AA76808"/>
    <w:rsid w:val="0B4736E4"/>
    <w:rsid w:val="0BF225CF"/>
    <w:rsid w:val="0C5901D2"/>
    <w:rsid w:val="0C867EB4"/>
    <w:rsid w:val="0C8E05B7"/>
    <w:rsid w:val="0CA27F6D"/>
    <w:rsid w:val="0CB878A8"/>
    <w:rsid w:val="0CFD6430"/>
    <w:rsid w:val="0D1B0133"/>
    <w:rsid w:val="0D61309B"/>
    <w:rsid w:val="0D6245AB"/>
    <w:rsid w:val="0DBC15E6"/>
    <w:rsid w:val="0DC814A4"/>
    <w:rsid w:val="0E06277D"/>
    <w:rsid w:val="0E321D7B"/>
    <w:rsid w:val="0E3C7F4D"/>
    <w:rsid w:val="0E4C48BC"/>
    <w:rsid w:val="0EA3306A"/>
    <w:rsid w:val="0F3F7647"/>
    <w:rsid w:val="0F56503F"/>
    <w:rsid w:val="0F5B6472"/>
    <w:rsid w:val="0F7A2519"/>
    <w:rsid w:val="0F7C4867"/>
    <w:rsid w:val="0F980D3B"/>
    <w:rsid w:val="0FE50B9F"/>
    <w:rsid w:val="0FE57711"/>
    <w:rsid w:val="106C4D14"/>
    <w:rsid w:val="107E2F32"/>
    <w:rsid w:val="10927A11"/>
    <w:rsid w:val="109C212C"/>
    <w:rsid w:val="10C833FB"/>
    <w:rsid w:val="10E72F79"/>
    <w:rsid w:val="11270A41"/>
    <w:rsid w:val="11271C6D"/>
    <w:rsid w:val="113C5A54"/>
    <w:rsid w:val="11847C41"/>
    <w:rsid w:val="1191272D"/>
    <w:rsid w:val="11A41EDD"/>
    <w:rsid w:val="11AB53A0"/>
    <w:rsid w:val="11DD23BF"/>
    <w:rsid w:val="11EE5556"/>
    <w:rsid w:val="120D5E88"/>
    <w:rsid w:val="12271585"/>
    <w:rsid w:val="12674F84"/>
    <w:rsid w:val="12901A1D"/>
    <w:rsid w:val="129152B9"/>
    <w:rsid w:val="12A70A23"/>
    <w:rsid w:val="12AF1DC1"/>
    <w:rsid w:val="13001549"/>
    <w:rsid w:val="13583933"/>
    <w:rsid w:val="137556DD"/>
    <w:rsid w:val="139C0183"/>
    <w:rsid w:val="13AA029B"/>
    <w:rsid w:val="13B07FC3"/>
    <w:rsid w:val="13B93A03"/>
    <w:rsid w:val="13C21C58"/>
    <w:rsid w:val="140E5EF8"/>
    <w:rsid w:val="149B4C75"/>
    <w:rsid w:val="14AD5912"/>
    <w:rsid w:val="14BA0B8E"/>
    <w:rsid w:val="14D7277E"/>
    <w:rsid w:val="14F017FD"/>
    <w:rsid w:val="15163B34"/>
    <w:rsid w:val="155E12D6"/>
    <w:rsid w:val="15692985"/>
    <w:rsid w:val="15777262"/>
    <w:rsid w:val="159853FB"/>
    <w:rsid w:val="159F1D25"/>
    <w:rsid w:val="15F82302"/>
    <w:rsid w:val="166F578C"/>
    <w:rsid w:val="168C3AE5"/>
    <w:rsid w:val="1692064E"/>
    <w:rsid w:val="16C529A7"/>
    <w:rsid w:val="1720040C"/>
    <w:rsid w:val="176E1AF7"/>
    <w:rsid w:val="178B423C"/>
    <w:rsid w:val="17A06AD1"/>
    <w:rsid w:val="17AA136A"/>
    <w:rsid w:val="1820393F"/>
    <w:rsid w:val="187F7385"/>
    <w:rsid w:val="18AF2649"/>
    <w:rsid w:val="18DF7E53"/>
    <w:rsid w:val="19087F6C"/>
    <w:rsid w:val="190C50A2"/>
    <w:rsid w:val="19151C6C"/>
    <w:rsid w:val="193B40C1"/>
    <w:rsid w:val="19404F27"/>
    <w:rsid w:val="19591AFF"/>
    <w:rsid w:val="196B4452"/>
    <w:rsid w:val="198030B7"/>
    <w:rsid w:val="19E045E6"/>
    <w:rsid w:val="19FE2BEF"/>
    <w:rsid w:val="1A0538E9"/>
    <w:rsid w:val="1A082804"/>
    <w:rsid w:val="1A734A17"/>
    <w:rsid w:val="1AA500EE"/>
    <w:rsid w:val="1AA9630E"/>
    <w:rsid w:val="1AE81CD8"/>
    <w:rsid w:val="1B27138E"/>
    <w:rsid w:val="1B3C6EB3"/>
    <w:rsid w:val="1B7A510C"/>
    <w:rsid w:val="1B7E501B"/>
    <w:rsid w:val="1B9000EB"/>
    <w:rsid w:val="1BA56027"/>
    <w:rsid w:val="1BA71CFA"/>
    <w:rsid w:val="1BA85563"/>
    <w:rsid w:val="1BCC3DBC"/>
    <w:rsid w:val="1BF52583"/>
    <w:rsid w:val="1BFC2151"/>
    <w:rsid w:val="1C232E52"/>
    <w:rsid w:val="1C67479D"/>
    <w:rsid w:val="1CA92628"/>
    <w:rsid w:val="1CCA63EA"/>
    <w:rsid w:val="1CCD0A52"/>
    <w:rsid w:val="1CE17403"/>
    <w:rsid w:val="1CFA43D8"/>
    <w:rsid w:val="1CFD28CA"/>
    <w:rsid w:val="1D2B655C"/>
    <w:rsid w:val="1D36685D"/>
    <w:rsid w:val="1D5726AE"/>
    <w:rsid w:val="1D855D4C"/>
    <w:rsid w:val="1D8C2111"/>
    <w:rsid w:val="1DC93A96"/>
    <w:rsid w:val="1E0F5BE2"/>
    <w:rsid w:val="1E2B72A8"/>
    <w:rsid w:val="1E3367B8"/>
    <w:rsid w:val="1E462DFF"/>
    <w:rsid w:val="1E526354"/>
    <w:rsid w:val="1E561CA6"/>
    <w:rsid w:val="1E8E509C"/>
    <w:rsid w:val="1E9201F9"/>
    <w:rsid w:val="1EA725EB"/>
    <w:rsid w:val="1F6B22F1"/>
    <w:rsid w:val="1F716539"/>
    <w:rsid w:val="1F721A21"/>
    <w:rsid w:val="1FA06AD1"/>
    <w:rsid w:val="1FC35DD8"/>
    <w:rsid w:val="1FEA6429"/>
    <w:rsid w:val="2005187C"/>
    <w:rsid w:val="202D375D"/>
    <w:rsid w:val="204D6B9A"/>
    <w:rsid w:val="2142460F"/>
    <w:rsid w:val="216B07DD"/>
    <w:rsid w:val="218872DA"/>
    <w:rsid w:val="21F23E97"/>
    <w:rsid w:val="21F8186C"/>
    <w:rsid w:val="221072CF"/>
    <w:rsid w:val="222050C4"/>
    <w:rsid w:val="22407574"/>
    <w:rsid w:val="2260590A"/>
    <w:rsid w:val="228C67B3"/>
    <w:rsid w:val="229056C2"/>
    <w:rsid w:val="230229B9"/>
    <w:rsid w:val="230C5CE8"/>
    <w:rsid w:val="23BA0CC4"/>
    <w:rsid w:val="23C819EC"/>
    <w:rsid w:val="23D410C8"/>
    <w:rsid w:val="241A00E6"/>
    <w:rsid w:val="24514115"/>
    <w:rsid w:val="24604DD7"/>
    <w:rsid w:val="24741D97"/>
    <w:rsid w:val="24E96081"/>
    <w:rsid w:val="251403E3"/>
    <w:rsid w:val="251E56AB"/>
    <w:rsid w:val="252843F7"/>
    <w:rsid w:val="257102E4"/>
    <w:rsid w:val="25841DBE"/>
    <w:rsid w:val="25C53AF7"/>
    <w:rsid w:val="25E54F4F"/>
    <w:rsid w:val="25FA28BA"/>
    <w:rsid w:val="25FA451E"/>
    <w:rsid w:val="25FB099C"/>
    <w:rsid w:val="263F00D6"/>
    <w:rsid w:val="265E1AA2"/>
    <w:rsid w:val="267B0F89"/>
    <w:rsid w:val="26920BFA"/>
    <w:rsid w:val="26A9495A"/>
    <w:rsid w:val="26E62B08"/>
    <w:rsid w:val="26FA754C"/>
    <w:rsid w:val="27194BD8"/>
    <w:rsid w:val="27242E54"/>
    <w:rsid w:val="27617C22"/>
    <w:rsid w:val="27805ECA"/>
    <w:rsid w:val="27A56A6E"/>
    <w:rsid w:val="27A72E58"/>
    <w:rsid w:val="27B224FB"/>
    <w:rsid w:val="27CF44C8"/>
    <w:rsid w:val="27FC156C"/>
    <w:rsid w:val="28051BC5"/>
    <w:rsid w:val="283E50A1"/>
    <w:rsid w:val="284F78ED"/>
    <w:rsid w:val="28542FEA"/>
    <w:rsid w:val="2858128F"/>
    <w:rsid w:val="285E6881"/>
    <w:rsid w:val="285E7C60"/>
    <w:rsid w:val="28907B8D"/>
    <w:rsid w:val="28A349F9"/>
    <w:rsid w:val="28EF56A5"/>
    <w:rsid w:val="292F1C24"/>
    <w:rsid w:val="292F36B7"/>
    <w:rsid w:val="2931346E"/>
    <w:rsid w:val="29660A85"/>
    <w:rsid w:val="297170DA"/>
    <w:rsid w:val="2996345C"/>
    <w:rsid w:val="29B30D11"/>
    <w:rsid w:val="29BC137D"/>
    <w:rsid w:val="29DB49CA"/>
    <w:rsid w:val="29F16BF0"/>
    <w:rsid w:val="29FD779E"/>
    <w:rsid w:val="2A4B2183"/>
    <w:rsid w:val="2AB17015"/>
    <w:rsid w:val="2AE21EF1"/>
    <w:rsid w:val="2AFB4B52"/>
    <w:rsid w:val="2B072FDE"/>
    <w:rsid w:val="2B2336BC"/>
    <w:rsid w:val="2B2B7909"/>
    <w:rsid w:val="2B467528"/>
    <w:rsid w:val="2B581973"/>
    <w:rsid w:val="2B78213D"/>
    <w:rsid w:val="2B853DE2"/>
    <w:rsid w:val="2BBF6D90"/>
    <w:rsid w:val="2BC43D1D"/>
    <w:rsid w:val="2BDE1DB5"/>
    <w:rsid w:val="2C2C48E5"/>
    <w:rsid w:val="2C592D13"/>
    <w:rsid w:val="2C6E6EB3"/>
    <w:rsid w:val="2C923F54"/>
    <w:rsid w:val="2C945DE3"/>
    <w:rsid w:val="2CAB124A"/>
    <w:rsid w:val="2DEA38F6"/>
    <w:rsid w:val="2E1275DE"/>
    <w:rsid w:val="2E4E2A75"/>
    <w:rsid w:val="2E7C6418"/>
    <w:rsid w:val="2E9100B7"/>
    <w:rsid w:val="2EB13D2B"/>
    <w:rsid w:val="2EC2240B"/>
    <w:rsid w:val="2EC81390"/>
    <w:rsid w:val="2EFF6701"/>
    <w:rsid w:val="2F37634D"/>
    <w:rsid w:val="2F6D59FD"/>
    <w:rsid w:val="2F8914C9"/>
    <w:rsid w:val="2FA91253"/>
    <w:rsid w:val="2FD2403F"/>
    <w:rsid w:val="2FDC78C0"/>
    <w:rsid w:val="30374FC9"/>
    <w:rsid w:val="304F36B8"/>
    <w:rsid w:val="308B35DF"/>
    <w:rsid w:val="30AA65F0"/>
    <w:rsid w:val="30BD10C3"/>
    <w:rsid w:val="30BF25EC"/>
    <w:rsid w:val="30FB755A"/>
    <w:rsid w:val="314D0124"/>
    <w:rsid w:val="3197246A"/>
    <w:rsid w:val="32385A00"/>
    <w:rsid w:val="324667A7"/>
    <w:rsid w:val="32753026"/>
    <w:rsid w:val="328E2714"/>
    <w:rsid w:val="32AC6E5A"/>
    <w:rsid w:val="32C160E7"/>
    <w:rsid w:val="32C52853"/>
    <w:rsid w:val="32D336E7"/>
    <w:rsid w:val="3390385A"/>
    <w:rsid w:val="33B5510C"/>
    <w:rsid w:val="33C62A97"/>
    <w:rsid w:val="33CD43BF"/>
    <w:rsid w:val="33EC463C"/>
    <w:rsid w:val="34041BD4"/>
    <w:rsid w:val="35042CC3"/>
    <w:rsid w:val="350502DC"/>
    <w:rsid w:val="3607411B"/>
    <w:rsid w:val="360E6A05"/>
    <w:rsid w:val="362D41D5"/>
    <w:rsid w:val="364A6DFC"/>
    <w:rsid w:val="36686130"/>
    <w:rsid w:val="369759F0"/>
    <w:rsid w:val="36A7254A"/>
    <w:rsid w:val="36B35215"/>
    <w:rsid w:val="36CB6D11"/>
    <w:rsid w:val="36F721B8"/>
    <w:rsid w:val="370623B0"/>
    <w:rsid w:val="372A1F58"/>
    <w:rsid w:val="37440108"/>
    <w:rsid w:val="376637C1"/>
    <w:rsid w:val="377B7EDC"/>
    <w:rsid w:val="37A41C99"/>
    <w:rsid w:val="37A82231"/>
    <w:rsid w:val="37B0615E"/>
    <w:rsid w:val="37D204F5"/>
    <w:rsid w:val="38075554"/>
    <w:rsid w:val="380975AA"/>
    <w:rsid w:val="388E7474"/>
    <w:rsid w:val="38B65429"/>
    <w:rsid w:val="38D80C72"/>
    <w:rsid w:val="38EB43A1"/>
    <w:rsid w:val="391A1D33"/>
    <w:rsid w:val="392576AC"/>
    <w:rsid w:val="393227A7"/>
    <w:rsid w:val="398E5251"/>
    <w:rsid w:val="399E0661"/>
    <w:rsid w:val="39A14A8C"/>
    <w:rsid w:val="39AF2ECB"/>
    <w:rsid w:val="39B2513A"/>
    <w:rsid w:val="3A072A9A"/>
    <w:rsid w:val="3A79380C"/>
    <w:rsid w:val="3A873793"/>
    <w:rsid w:val="3A901CC2"/>
    <w:rsid w:val="3A9E295E"/>
    <w:rsid w:val="3AA47BC2"/>
    <w:rsid w:val="3AD050B0"/>
    <w:rsid w:val="3ADD1FEC"/>
    <w:rsid w:val="3AE103DA"/>
    <w:rsid w:val="3AEE075F"/>
    <w:rsid w:val="3B2A1A5E"/>
    <w:rsid w:val="3C037448"/>
    <w:rsid w:val="3C0B2B89"/>
    <w:rsid w:val="3C2B3006"/>
    <w:rsid w:val="3C2F2F02"/>
    <w:rsid w:val="3C4B2370"/>
    <w:rsid w:val="3C5A3A29"/>
    <w:rsid w:val="3CA43CDF"/>
    <w:rsid w:val="3CBA680E"/>
    <w:rsid w:val="3CCB56B0"/>
    <w:rsid w:val="3CCC33A5"/>
    <w:rsid w:val="3CD24F34"/>
    <w:rsid w:val="3D1368FA"/>
    <w:rsid w:val="3D1D18A7"/>
    <w:rsid w:val="3D475EFD"/>
    <w:rsid w:val="3DC15146"/>
    <w:rsid w:val="3DE006FF"/>
    <w:rsid w:val="3E2C6DBB"/>
    <w:rsid w:val="3E442382"/>
    <w:rsid w:val="3E6975D0"/>
    <w:rsid w:val="3E982A48"/>
    <w:rsid w:val="3EA13331"/>
    <w:rsid w:val="3EA64DEB"/>
    <w:rsid w:val="3ED41958"/>
    <w:rsid w:val="3F3B49B0"/>
    <w:rsid w:val="3F523512"/>
    <w:rsid w:val="3F612990"/>
    <w:rsid w:val="3F7B020F"/>
    <w:rsid w:val="3F934C39"/>
    <w:rsid w:val="3F9966FE"/>
    <w:rsid w:val="3FD9561B"/>
    <w:rsid w:val="3FD95838"/>
    <w:rsid w:val="40145C87"/>
    <w:rsid w:val="401667AE"/>
    <w:rsid w:val="40265D58"/>
    <w:rsid w:val="403D6AE8"/>
    <w:rsid w:val="406A0CA8"/>
    <w:rsid w:val="407824C6"/>
    <w:rsid w:val="409C4184"/>
    <w:rsid w:val="40CA28FD"/>
    <w:rsid w:val="412E72F9"/>
    <w:rsid w:val="419360F6"/>
    <w:rsid w:val="41D91034"/>
    <w:rsid w:val="423160F5"/>
    <w:rsid w:val="424D57CE"/>
    <w:rsid w:val="4280185F"/>
    <w:rsid w:val="42803638"/>
    <w:rsid w:val="42A66759"/>
    <w:rsid w:val="42BE0803"/>
    <w:rsid w:val="42DF4973"/>
    <w:rsid w:val="42EB49DE"/>
    <w:rsid w:val="431F10FD"/>
    <w:rsid w:val="43853221"/>
    <w:rsid w:val="43AB0945"/>
    <w:rsid w:val="43F94A11"/>
    <w:rsid w:val="4431292A"/>
    <w:rsid w:val="448C432C"/>
    <w:rsid w:val="449B7FF0"/>
    <w:rsid w:val="44A84078"/>
    <w:rsid w:val="44B830CA"/>
    <w:rsid w:val="44C30E24"/>
    <w:rsid w:val="44CE2167"/>
    <w:rsid w:val="44DD52F3"/>
    <w:rsid w:val="4523042D"/>
    <w:rsid w:val="452B0112"/>
    <w:rsid w:val="458F245C"/>
    <w:rsid w:val="45A5631D"/>
    <w:rsid w:val="45AD4AD9"/>
    <w:rsid w:val="45B827ED"/>
    <w:rsid w:val="464E6258"/>
    <w:rsid w:val="4655186F"/>
    <w:rsid w:val="46647A66"/>
    <w:rsid w:val="466A603C"/>
    <w:rsid w:val="46942A3E"/>
    <w:rsid w:val="46C13846"/>
    <w:rsid w:val="46EA02D1"/>
    <w:rsid w:val="46EC3316"/>
    <w:rsid w:val="47327B6A"/>
    <w:rsid w:val="47566646"/>
    <w:rsid w:val="47A16AC0"/>
    <w:rsid w:val="47AD0F98"/>
    <w:rsid w:val="47AF6E02"/>
    <w:rsid w:val="47D032B7"/>
    <w:rsid w:val="4806764E"/>
    <w:rsid w:val="48112EB7"/>
    <w:rsid w:val="482E7B3D"/>
    <w:rsid w:val="484142D0"/>
    <w:rsid w:val="484A2A81"/>
    <w:rsid w:val="488572E0"/>
    <w:rsid w:val="48A64B33"/>
    <w:rsid w:val="48A9184B"/>
    <w:rsid w:val="48BC1346"/>
    <w:rsid w:val="48BD686B"/>
    <w:rsid w:val="48E37B3A"/>
    <w:rsid w:val="48F304E1"/>
    <w:rsid w:val="48FC7788"/>
    <w:rsid w:val="492C52E4"/>
    <w:rsid w:val="49A11BFD"/>
    <w:rsid w:val="49C42695"/>
    <w:rsid w:val="4A34516C"/>
    <w:rsid w:val="4A746497"/>
    <w:rsid w:val="4AB05758"/>
    <w:rsid w:val="4AC37CEB"/>
    <w:rsid w:val="4ACF1226"/>
    <w:rsid w:val="4ADD0FA7"/>
    <w:rsid w:val="4AEF72B5"/>
    <w:rsid w:val="4AFA0296"/>
    <w:rsid w:val="4B245E59"/>
    <w:rsid w:val="4B353E2C"/>
    <w:rsid w:val="4BA12BC2"/>
    <w:rsid w:val="4BA72762"/>
    <w:rsid w:val="4BB07E9E"/>
    <w:rsid w:val="4BB52B12"/>
    <w:rsid w:val="4BBE5445"/>
    <w:rsid w:val="4BD63E89"/>
    <w:rsid w:val="4C473587"/>
    <w:rsid w:val="4C706369"/>
    <w:rsid w:val="4C900DDD"/>
    <w:rsid w:val="4C9B681B"/>
    <w:rsid w:val="4CB156B4"/>
    <w:rsid w:val="4CE81EF3"/>
    <w:rsid w:val="4D0849A2"/>
    <w:rsid w:val="4D3637DE"/>
    <w:rsid w:val="4D572089"/>
    <w:rsid w:val="4D657D8E"/>
    <w:rsid w:val="4D97008A"/>
    <w:rsid w:val="4DC819FF"/>
    <w:rsid w:val="4DE66096"/>
    <w:rsid w:val="4E080B23"/>
    <w:rsid w:val="4E177A4A"/>
    <w:rsid w:val="4E323FA5"/>
    <w:rsid w:val="4E5A28B8"/>
    <w:rsid w:val="4E5F3938"/>
    <w:rsid w:val="4EA0631D"/>
    <w:rsid w:val="4EAC3D58"/>
    <w:rsid w:val="4EB54C56"/>
    <w:rsid w:val="4EE04857"/>
    <w:rsid w:val="4F114CE1"/>
    <w:rsid w:val="4FB779BE"/>
    <w:rsid w:val="4FED287A"/>
    <w:rsid w:val="50373B47"/>
    <w:rsid w:val="50560FD3"/>
    <w:rsid w:val="505F0D48"/>
    <w:rsid w:val="50715DCE"/>
    <w:rsid w:val="50892A04"/>
    <w:rsid w:val="50D7537B"/>
    <w:rsid w:val="50DB0924"/>
    <w:rsid w:val="51607219"/>
    <w:rsid w:val="51655A54"/>
    <w:rsid w:val="519F1952"/>
    <w:rsid w:val="52740C67"/>
    <w:rsid w:val="527A1351"/>
    <w:rsid w:val="52801BF0"/>
    <w:rsid w:val="529132AC"/>
    <w:rsid w:val="52A31487"/>
    <w:rsid w:val="52C8191C"/>
    <w:rsid w:val="531225F7"/>
    <w:rsid w:val="531C6B99"/>
    <w:rsid w:val="53264A1D"/>
    <w:rsid w:val="53441517"/>
    <w:rsid w:val="53901EB9"/>
    <w:rsid w:val="539D11A0"/>
    <w:rsid w:val="53B46E3F"/>
    <w:rsid w:val="53C67DA3"/>
    <w:rsid w:val="54136627"/>
    <w:rsid w:val="544C41D9"/>
    <w:rsid w:val="547F7572"/>
    <w:rsid w:val="54833174"/>
    <w:rsid w:val="54897FFE"/>
    <w:rsid w:val="54F55F1A"/>
    <w:rsid w:val="55614848"/>
    <w:rsid w:val="55B4365A"/>
    <w:rsid w:val="55E62245"/>
    <w:rsid w:val="55F177C5"/>
    <w:rsid w:val="55F96083"/>
    <w:rsid w:val="562C1C22"/>
    <w:rsid w:val="56382375"/>
    <w:rsid w:val="564725B8"/>
    <w:rsid w:val="564D2965"/>
    <w:rsid w:val="565A0DEE"/>
    <w:rsid w:val="567A3D6B"/>
    <w:rsid w:val="56D7393C"/>
    <w:rsid w:val="57693165"/>
    <w:rsid w:val="57BE733C"/>
    <w:rsid w:val="57D50CB4"/>
    <w:rsid w:val="58002C23"/>
    <w:rsid w:val="58126794"/>
    <w:rsid w:val="582F7907"/>
    <w:rsid w:val="58725880"/>
    <w:rsid w:val="58860AD6"/>
    <w:rsid w:val="588B4FD0"/>
    <w:rsid w:val="58AB4615"/>
    <w:rsid w:val="58D556D9"/>
    <w:rsid w:val="58F375C4"/>
    <w:rsid w:val="58FE2986"/>
    <w:rsid w:val="59433F91"/>
    <w:rsid w:val="597B7B31"/>
    <w:rsid w:val="597C64C8"/>
    <w:rsid w:val="598955BA"/>
    <w:rsid w:val="59B41159"/>
    <w:rsid w:val="59E1754D"/>
    <w:rsid w:val="5A0D31D2"/>
    <w:rsid w:val="5AA14DA2"/>
    <w:rsid w:val="5B07104A"/>
    <w:rsid w:val="5B096B10"/>
    <w:rsid w:val="5B1C4F7A"/>
    <w:rsid w:val="5B6302B0"/>
    <w:rsid w:val="5B6A3E1A"/>
    <w:rsid w:val="5B8D2ED0"/>
    <w:rsid w:val="5BF94AD3"/>
    <w:rsid w:val="5C0E0B7C"/>
    <w:rsid w:val="5C2D7683"/>
    <w:rsid w:val="5C727273"/>
    <w:rsid w:val="5C8005D2"/>
    <w:rsid w:val="5CB51561"/>
    <w:rsid w:val="5CDB7E67"/>
    <w:rsid w:val="5CFA4828"/>
    <w:rsid w:val="5D101956"/>
    <w:rsid w:val="5D1274D3"/>
    <w:rsid w:val="5D3035E3"/>
    <w:rsid w:val="5D6323CD"/>
    <w:rsid w:val="5D6E35E1"/>
    <w:rsid w:val="5D850596"/>
    <w:rsid w:val="5DAC2CF1"/>
    <w:rsid w:val="5DBD0F71"/>
    <w:rsid w:val="5E0C2D3B"/>
    <w:rsid w:val="5E356187"/>
    <w:rsid w:val="5E557BE6"/>
    <w:rsid w:val="5E7F65B6"/>
    <w:rsid w:val="5EB32097"/>
    <w:rsid w:val="5EC63679"/>
    <w:rsid w:val="5EE642D6"/>
    <w:rsid w:val="5EF20E36"/>
    <w:rsid w:val="5F1A1DB3"/>
    <w:rsid w:val="5F706E12"/>
    <w:rsid w:val="5F8B13AD"/>
    <w:rsid w:val="5FA23A48"/>
    <w:rsid w:val="5FA41C28"/>
    <w:rsid w:val="5FF939C2"/>
    <w:rsid w:val="60605D3F"/>
    <w:rsid w:val="60A140D2"/>
    <w:rsid w:val="60B5516A"/>
    <w:rsid w:val="60D90E49"/>
    <w:rsid w:val="60FC3763"/>
    <w:rsid w:val="61164ED3"/>
    <w:rsid w:val="61333E65"/>
    <w:rsid w:val="613A0ECF"/>
    <w:rsid w:val="61782DFD"/>
    <w:rsid w:val="619230EC"/>
    <w:rsid w:val="61B85EA8"/>
    <w:rsid w:val="61D373F6"/>
    <w:rsid w:val="61DC0E2B"/>
    <w:rsid w:val="61DD19A9"/>
    <w:rsid w:val="62696373"/>
    <w:rsid w:val="62955319"/>
    <w:rsid w:val="62984D49"/>
    <w:rsid w:val="62997F4D"/>
    <w:rsid w:val="62B30900"/>
    <w:rsid w:val="62B703F6"/>
    <w:rsid w:val="62BF5C6C"/>
    <w:rsid w:val="62D728E2"/>
    <w:rsid w:val="62DF5C63"/>
    <w:rsid w:val="62FA228F"/>
    <w:rsid w:val="63116428"/>
    <w:rsid w:val="634265E1"/>
    <w:rsid w:val="63441AC1"/>
    <w:rsid w:val="636B671A"/>
    <w:rsid w:val="637C15CE"/>
    <w:rsid w:val="63AE3C76"/>
    <w:rsid w:val="63B62E27"/>
    <w:rsid w:val="63BC2E7C"/>
    <w:rsid w:val="640273D6"/>
    <w:rsid w:val="64104617"/>
    <w:rsid w:val="64410F8F"/>
    <w:rsid w:val="64601415"/>
    <w:rsid w:val="64740A6B"/>
    <w:rsid w:val="647B1EF1"/>
    <w:rsid w:val="64A229D1"/>
    <w:rsid w:val="64EB2205"/>
    <w:rsid w:val="650C01BC"/>
    <w:rsid w:val="651D0B8B"/>
    <w:rsid w:val="654769DA"/>
    <w:rsid w:val="65A20A65"/>
    <w:rsid w:val="65A90751"/>
    <w:rsid w:val="65BF578D"/>
    <w:rsid w:val="65D80AA9"/>
    <w:rsid w:val="667E25EE"/>
    <w:rsid w:val="66CD055C"/>
    <w:rsid w:val="66CE26C0"/>
    <w:rsid w:val="67173407"/>
    <w:rsid w:val="67A7735B"/>
    <w:rsid w:val="67BF586D"/>
    <w:rsid w:val="67C747AC"/>
    <w:rsid w:val="67CB2E71"/>
    <w:rsid w:val="67E63BA7"/>
    <w:rsid w:val="67F16207"/>
    <w:rsid w:val="687473BF"/>
    <w:rsid w:val="68764A49"/>
    <w:rsid w:val="68FC1673"/>
    <w:rsid w:val="69511118"/>
    <w:rsid w:val="697A1F38"/>
    <w:rsid w:val="69AB00B1"/>
    <w:rsid w:val="69B26167"/>
    <w:rsid w:val="69F57F11"/>
    <w:rsid w:val="6A083427"/>
    <w:rsid w:val="6A241EA6"/>
    <w:rsid w:val="6A261703"/>
    <w:rsid w:val="6A2E3D63"/>
    <w:rsid w:val="6A5512F0"/>
    <w:rsid w:val="6A867D24"/>
    <w:rsid w:val="6AE83F12"/>
    <w:rsid w:val="6B7E03D2"/>
    <w:rsid w:val="6B811C71"/>
    <w:rsid w:val="6BB04E9E"/>
    <w:rsid w:val="6BB169FA"/>
    <w:rsid w:val="6BB931DF"/>
    <w:rsid w:val="6BD0157F"/>
    <w:rsid w:val="6BE008EF"/>
    <w:rsid w:val="6C092392"/>
    <w:rsid w:val="6C136D6D"/>
    <w:rsid w:val="6C953805"/>
    <w:rsid w:val="6C975BF0"/>
    <w:rsid w:val="6CC00867"/>
    <w:rsid w:val="6CC8545F"/>
    <w:rsid w:val="6CDB57BD"/>
    <w:rsid w:val="6D090170"/>
    <w:rsid w:val="6D4F5C39"/>
    <w:rsid w:val="6D7E290C"/>
    <w:rsid w:val="6D9D78DE"/>
    <w:rsid w:val="6DB06FF1"/>
    <w:rsid w:val="6DDD39B1"/>
    <w:rsid w:val="6E155D60"/>
    <w:rsid w:val="6E1F467A"/>
    <w:rsid w:val="6E4065A7"/>
    <w:rsid w:val="6E8B12FA"/>
    <w:rsid w:val="6E8D0444"/>
    <w:rsid w:val="6EAA2513"/>
    <w:rsid w:val="6EC46A44"/>
    <w:rsid w:val="6EE14395"/>
    <w:rsid w:val="6F0C35C3"/>
    <w:rsid w:val="6F1C5C3C"/>
    <w:rsid w:val="6F6F04AA"/>
    <w:rsid w:val="6F7D2FF6"/>
    <w:rsid w:val="6FA93EA1"/>
    <w:rsid w:val="701E7BFF"/>
    <w:rsid w:val="70227EC6"/>
    <w:rsid w:val="703B419C"/>
    <w:rsid w:val="7084000A"/>
    <w:rsid w:val="70856108"/>
    <w:rsid w:val="70FD1D50"/>
    <w:rsid w:val="710D3354"/>
    <w:rsid w:val="71124A79"/>
    <w:rsid w:val="713C4FB8"/>
    <w:rsid w:val="71422861"/>
    <w:rsid w:val="71696CF7"/>
    <w:rsid w:val="71883D59"/>
    <w:rsid w:val="718C16E0"/>
    <w:rsid w:val="720D51A7"/>
    <w:rsid w:val="72526FCA"/>
    <w:rsid w:val="72593647"/>
    <w:rsid w:val="72915468"/>
    <w:rsid w:val="72C74F5E"/>
    <w:rsid w:val="72DA37A7"/>
    <w:rsid w:val="73186167"/>
    <w:rsid w:val="731E47D9"/>
    <w:rsid w:val="73293152"/>
    <w:rsid w:val="73355778"/>
    <w:rsid w:val="733749E1"/>
    <w:rsid w:val="733A11CC"/>
    <w:rsid w:val="73B471B7"/>
    <w:rsid w:val="73BD773A"/>
    <w:rsid w:val="73D80FA1"/>
    <w:rsid w:val="74227276"/>
    <w:rsid w:val="742D17E8"/>
    <w:rsid w:val="74356C69"/>
    <w:rsid w:val="747C16B9"/>
    <w:rsid w:val="74E4315B"/>
    <w:rsid w:val="74EE52E6"/>
    <w:rsid w:val="753201E6"/>
    <w:rsid w:val="758443F9"/>
    <w:rsid w:val="758E0441"/>
    <w:rsid w:val="75AA195E"/>
    <w:rsid w:val="75B90985"/>
    <w:rsid w:val="75CB2965"/>
    <w:rsid w:val="761E74BA"/>
    <w:rsid w:val="763463D4"/>
    <w:rsid w:val="764346B3"/>
    <w:rsid w:val="764A5875"/>
    <w:rsid w:val="766C54D5"/>
    <w:rsid w:val="766F2730"/>
    <w:rsid w:val="767B7B78"/>
    <w:rsid w:val="769B34C2"/>
    <w:rsid w:val="76BA3807"/>
    <w:rsid w:val="76E747E9"/>
    <w:rsid w:val="76F459ED"/>
    <w:rsid w:val="7729041E"/>
    <w:rsid w:val="772E12D7"/>
    <w:rsid w:val="774A3CCC"/>
    <w:rsid w:val="77767670"/>
    <w:rsid w:val="779E0ECD"/>
    <w:rsid w:val="782E06F6"/>
    <w:rsid w:val="78884C6D"/>
    <w:rsid w:val="78BD7B15"/>
    <w:rsid w:val="78C67253"/>
    <w:rsid w:val="78D44471"/>
    <w:rsid w:val="79963C18"/>
    <w:rsid w:val="799B65F3"/>
    <w:rsid w:val="79A9057D"/>
    <w:rsid w:val="79CE6258"/>
    <w:rsid w:val="7A49428D"/>
    <w:rsid w:val="7A6603BC"/>
    <w:rsid w:val="7A983B8E"/>
    <w:rsid w:val="7A9F119F"/>
    <w:rsid w:val="7A9F4953"/>
    <w:rsid w:val="7ACF2BAE"/>
    <w:rsid w:val="7AF67F85"/>
    <w:rsid w:val="7B027696"/>
    <w:rsid w:val="7B3960C4"/>
    <w:rsid w:val="7B920D64"/>
    <w:rsid w:val="7BC47036"/>
    <w:rsid w:val="7BCF2FD8"/>
    <w:rsid w:val="7BD72B2C"/>
    <w:rsid w:val="7BFF248A"/>
    <w:rsid w:val="7C251F73"/>
    <w:rsid w:val="7C5F723E"/>
    <w:rsid w:val="7C650717"/>
    <w:rsid w:val="7CBB57AE"/>
    <w:rsid w:val="7CDE5FF9"/>
    <w:rsid w:val="7D415FFE"/>
    <w:rsid w:val="7D6B2548"/>
    <w:rsid w:val="7D784203"/>
    <w:rsid w:val="7DCC365B"/>
    <w:rsid w:val="7E592D6B"/>
    <w:rsid w:val="7EAB7E20"/>
    <w:rsid w:val="7EBC5E17"/>
    <w:rsid w:val="7EBE75FA"/>
    <w:rsid w:val="7EC211DF"/>
    <w:rsid w:val="7EC504F6"/>
    <w:rsid w:val="7ECA2140"/>
    <w:rsid w:val="7F0E33DA"/>
    <w:rsid w:val="7F3F1863"/>
    <w:rsid w:val="7FC322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6"/>
    <w:qFormat/>
    <w:uiPriority w:val="0"/>
    <w:pPr>
      <w:keepNext/>
      <w:keepLines/>
      <w:spacing w:before="340" w:after="330" w:line="500" w:lineRule="atLeast"/>
      <w:jc w:val="center"/>
      <w:outlineLvl w:val="0"/>
    </w:pPr>
    <w:rPr>
      <w:b/>
      <w:bCs/>
      <w:kern w:val="44"/>
      <w:sz w:val="44"/>
      <w:szCs w:val="44"/>
    </w:rPr>
  </w:style>
  <w:style w:type="paragraph" w:styleId="4">
    <w:name w:val="heading 2"/>
    <w:basedOn w:val="1"/>
    <w:next w:val="1"/>
    <w:link w:val="67"/>
    <w:autoRedefine/>
    <w:qFormat/>
    <w:uiPriority w:val="0"/>
    <w:pPr>
      <w:keepNext/>
      <w:keepLines/>
      <w:spacing w:before="260" w:after="260" w:line="440" w:lineRule="exact"/>
      <w:outlineLvl w:val="1"/>
    </w:pPr>
    <w:rPr>
      <w:rFonts w:ascii="Arial" w:hAnsi="Arial" w:cs="Arial"/>
      <w:b/>
      <w:bCs/>
      <w:snapToGrid w:val="0"/>
      <w:kern w:val="0"/>
      <w:sz w:val="32"/>
      <w:szCs w:val="32"/>
    </w:rPr>
  </w:style>
  <w:style w:type="paragraph" w:styleId="5">
    <w:name w:val="heading 3"/>
    <w:basedOn w:val="1"/>
    <w:next w:val="1"/>
    <w:link w:val="68"/>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69"/>
    <w:autoRedefine/>
    <w:qFormat/>
    <w:uiPriority w:val="0"/>
    <w:pPr>
      <w:keepNext/>
      <w:adjustRightInd w:val="0"/>
      <w:snapToGrid w:val="0"/>
      <w:spacing w:line="500" w:lineRule="atLeast"/>
      <w:jc w:val="center"/>
      <w:outlineLvl w:val="3"/>
    </w:pPr>
    <w:rPr>
      <w:b/>
      <w:bCs/>
      <w:snapToGrid w:val="0"/>
      <w:kern w:val="0"/>
    </w:rPr>
  </w:style>
  <w:style w:type="paragraph" w:styleId="7">
    <w:name w:val="heading 5"/>
    <w:basedOn w:val="1"/>
    <w:next w:val="1"/>
    <w:link w:val="70"/>
    <w:autoRedefine/>
    <w:qFormat/>
    <w:uiPriority w:val="0"/>
    <w:pPr>
      <w:keepNext/>
      <w:widowControl/>
      <w:ind w:left="-108" w:right="-108"/>
      <w:jc w:val="center"/>
      <w:outlineLvl w:val="4"/>
    </w:pPr>
    <w:rPr>
      <w:rFonts w:hint="eastAsia" w:ascii="宋体" w:hAnsi="宋体"/>
      <w:b/>
      <w:bCs/>
      <w:color w:val="000000"/>
      <w:kern w:val="0"/>
      <w:sz w:val="24"/>
    </w:rPr>
  </w:style>
  <w:style w:type="paragraph" w:styleId="8">
    <w:name w:val="heading 7"/>
    <w:basedOn w:val="1"/>
    <w:next w:val="9"/>
    <w:link w:val="111"/>
    <w:qFormat/>
    <w:uiPriority w:val="0"/>
    <w:pPr>
      <w:keepNext/>
      <w:keepLines/>
      <w:spacing w:before="240" w:after="64" w:line="320" w:lineRule="auto"/>
      <w:outlineLvl w:val="6"/>
    </w:pPr>
    <w:rPr>
      <w:b/>
      <w:sz w:val="24"/>
      <w:szCs w:val="20"/>
    </w:rPr>
  </w:style>
  <w:style w:type="paragraph" w:styleId="10">
    <w:name w:val="heading 8"/>
    <w:basedOn w:val="1"/>
    <w:next w:val="9"/>
    <w:link w:val="112"/>
    <w:autoRedefine/>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9"/>
    <w:link w:val="113"/>
    <w:autoRedefine/>
    <w:qFormat/>
    <w:uiPriority w:val="0"/>
    <w:pPr>
      <w:keepNext/>
      <w:keepLines/>
      <w:spacing w:before="240" w:after="64" w:line="320" w:lineRule="auto"/>
      <w:outlineLvl w:val="8"/>
    </w:pPr>
    <w:rPr>
      <w:rFonts w:ascii="Arial" w:hAnsi="Arial" w:eastAsia="黑体"/>
      <w:szCs w:val="20"/>
    </w:rPr>
  </w:style>
  <w:style w:type="character" w:default="1" w:styleId="55">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85"/>
    <w:autoRedefine/>
    <w:qFormat/>
    <w:uiPriority w:val="0"/>
    <w:rPr>
      <w:rFonts w:ascii="宋体" w:hAnsi="Courier New" w:cs="Courier New"/>
      <w:szCs w:val="21"/>
    </w:rPr>
  </w:style>
  <w:style w:type="paragraph" w:styleId="9">
    <w:name w:val="Normal Indent"/>
    <w:basedOn w:val="1"/>
    <w:link w:val="104"/>
    <w:autoRedefine/>
    <w:qFormat/>
    <w:uiPriority w:val="0"/>
  </w:style>
  <w:style w:type="paragraph" w:styleId="12">
    <w:name w:val="toc 7"/>
    <w:basedOn w:val="1"/>
    <w:next w:val="1"/>
    <w:autoRedefine/>
    <w:qFormat/>
    <w:uiPriority w:val="39"/>
    <w:pPr>
      <w:ind w:left="1260"/>
      <w:jc w:val="left"/>
    </w:pPr>
    <w:rPr>
      <w:szCs w:val="21"/>
    </w:rPr>
  </w:style>
  <w:style w:type="paragraph" w:styleId="13">
    <w:name w:val="table of authorities"/>
    <w:basedOn w:val="1"/>
    <w:next w:val="1"/>
    <w:autoRedefine/>
    <w:semiHidden/>
    <w:qFormat/>
    <w:uiPriority w:val="0"/>
    <w:pPr>
      <w:ind w:left="210" w:hanging="210"/>
      <w:jc w:val="left"/>
    </w:pPr>
  </w:style>
  <w:style w:type="paragraph" w:styleId="14">
    <w:name w:val="Note Heading"/>
    <w:basedOn w:val="1"/>
    <w:next w:val="1"/>
    <w:autoRedefine/>
    <w:qFormat/>
    <w:uiPriority w:val="0"/>
    <w:pPr>
      <w:jc w:val="center"/>
    </w:pPr>
    <w:rPr>
      <w:rFonts w:ascii="宋体"/>
      <w:szCs w:val="20"/>
    </w:rPr>
  </w:style>
  <w:style w:type="paragraph" w:styleId="15">
    <w:name w:val="index 8"/>
    <w:basedOn w:val="1"/>
    <w:next w:val="1"/>
    <w:autoRedefine/>
    <w:semiHidden/>
    <w:qFormat/>
    <w:uiPriority w:val="0"/>
    <w:pPr>
      <w:ind w:left="1400" w:leftChars="1400"/>
    </w:pPr>
  </w:style>
  <w:style w:type="paragraph" w:styleId="16">
    <w:name w:val="caption"/>
    <w:basedOn w:val="1"/>
    <w:next w:val="1"/>
    <w:autoRedefine/>
    <w:qFormat/>
    <w:uiPriority w:val="0"/>
    <w:rPr>
      <w:rFonts w:ascii="Arial" w:hAnsi="Arial" w:eastAsia="黑体" w:cs="Arial"/>
      <w:sz w:val="20"/>
      <w:szCs w:val="20"/>
    </w:rPr>
  </w:style>
  <w:style w:type="paragraph" w:styleId="17">
    <w:name w:val="index 5"/>
    <w:basedOn w:val="1"/>
    <w:next w:val="1"/>
    <w:autoRedefine/>
    <w:semiHidden/>
    <w:qFormat/>
    <w:uiPriority w:val="0"/>
    <w:pPr>
      <w:ind w:left="800" w:leftChars="800"/>
    </w:pPr>
  </w:style>
  <w:style w:type="paragraph" w:styleId="18">
    <w:name w:val="Document Map"/>
    <w:basedOn w:val="1"/>
    <w:next w:val="19"/>
    <w:link w:val="75"/>
    <w:autoRedefine/>
    <w:semiHidden/>
    <w:qFormat/>
    <w:uiPriority w:val="0"/>
    <w:pPr>
      <w:shd w:val="clear" w:color="auto" w:fill="000080"/>
    </w:pPr>
  </w:style>
  <w:style w:type="paragraph" w:styleId="19">
    <w:name w:val="Body Text"/>
    <w:basedOn w:val="1"/>
    <w:link w:val="77"/>
    <w:autoRedefine/>
    <w:qFormat/>
    <w:uiPriority w:val="0"/>
    <w:pPr>
      <w:adjustRightInd w:val="0"/>
      <w:snapToGrid w:val="0"/>
      <w:spacing w:line="500" w:lineRule="atLeast"/>
    </w:pPr>
    <w:rPr>
      <w:snapToGrid w:val="0"/>
      <w:kern w:val="0"/>
      <w:sz w:val="24"/>
    </w:rPr>
  </w:style>
  <w:style w:type="paragraph" w:styleId="20">
    <w:name w:val="toa heading"/>
    <w:basedOn w:val="1"/>
    <w:next w:val="1"/>
    <w:autoRedefine/>
    <w:semiHidden/>
    <w:qFormat/>
    <w:uiPriority w:val="0"/>
    <w:pPr>
      <w:spacing w:before="240" w:after="120"/>
      <w:jc w:val="center"/>
    </w:pPr>
    <w:rPr>
      <w:smallCaps/>
      <w:szCs w:val="26"/>
      <w:u w:val="single"/>
    </w:rPr>
  </w:style>
  <w:style w:type="paragraph" w:styleId="21">
    <w:name w:val="annotation text"/>
    <w:basedOn w:val="1"/>
    <w:link w:val="101"/>
    <w:autoRedefine/>
    <w:semiHidden/>
    <w:qFormat/>
    <w:uiPriority w:val="0"/>
    <w:pPr>
      <w:jc w:val="left"/>
    </w:pPr>
  </w:style>
  <w:style w:type="paragraph" w:styleId="22">
    <w:name w:val="index 6"/>
    <w:basedOn w:val="1"/>
    <w:next w:val="1"/>
    <w:autoRedefine/>
    <w:semiHidden/>
    <w:qFormat/>
    <w:uiPriority w:val="0"/>
    <w:pPr>
      <w:ind w:left="1000" w:leftChars="1000"/>
    </w:pPr>
  </w:style>
  <w:style w:type="paragraph" w:styleId="23">
    <w:name w:val="Body Text Indent"/>
    <w:basedOn w:val="1"/>
    <w:link w:val="74"/>
    <w:autoRedefine/>
    <w:qFormat/>
    <w:uiPriority w:val="0"/>
    <w:pPr>
      <w:widowControl/>
      <w:suppressAutoHyphens/>
      <w:adjustRightInd w:val="0"/>
      <w:snapToGrid w:val="0"/>
      <w:spacing w:line="500" w:lineRule="atLeast"/>
      <w:ind w:firstLine="200" w:firstLineChars="200"/>
    </w:pPr>
    <w:rPr>
      <w:snapToGrid w:val="0"/>
      <w:kern w:val="0"/>
      <w:sz w:val="24"/>
    </w:rPr>
  </w:style>
  <w:style w:type="paragraph" w:styleId="24">
    <w:name w:val="index 4"/>
    <w:basedOn w:val="1"/>
    <w:next w:val="1"/>
    <w:autoRedefine/>
    <w:semiHidden/>
    <w:qFormat/>
    <w:uiPriority w:val="0"/>
    <w:pPr>
      <w:ind w:left="600" w:leftChars="600"/>
    </w:pPr>
  </w:style>
  <w:style w:type="paragraph" w:styleId="25">
    <w:name w:val="toc 5"/>
    <w:basedOn w:val="1"/>
    <w:next w:val="1"/>
    <w:autoRedefine/>
    <w:qFormat/>
    <w:uiPriority w:val="39"/>
    <w:pPr>
      <w:ind w:left="840"/>
      <w:jc w:val="left"/>
    </w:pPr>
    <w:rPr>
      <w:szCs w:val="21"/>
    </w:rPr>
  </w:style>
  <w:style w:type="paragraph" w:styleId="26">
    <w:name w:val="toc 3"/>
    <w:basedOn w:val="1"/>
    <w:next w:val="1"/>
    <w:autoRedefine/>
    <w:qFormat/>
    <w:uiPriority w:val="39"/>
    <w:pPr>
      <w:ind w:left="420"/>
      <w:jc w:val="left"/>
    </w:pPr>
    <w:rPr>
      <w:i/>
      <w:iCs/>
    </w:rPr>
  </w:style>
  <w:style w:type="paragraph" w:styleId="27">
    <w:name w:val="toc 8"/>
    <w:basedOn w:val="1"/>
    <w:next w:val="1"/>
    <w:autoRedefine/>
    <w:qFormat/>
    <w:uiPriority w:val="39"/>
    <w:pPr>
      <w:ind w:left="1470"/>
      <w:jc w:val="left"/>
    </w:pPr>
    <w:rPr>
      <w:szCs w:val="21"/>
    </w:rPr>
  </w:style>
  <w:style w:type="paragraph" w:styleId="28">
    <w:name w:val="index 3"/>
    <w:basedOn w:val="1"/>
    <w:next w:val="1"/>
    <w:autoRedefine/>
    <w:semiHidden/>
    <w:qFormat/>
    <w:uiPriority w:val="0"/>
    <w:pPr>
      <w:ind w:left="400" w:leftChars="400"/>
    </w:pPr>
  </w:style>
  <w:style w:type="paragraph" w:styleId="29">
    <w:name w:val="Date"/>
    <w:basedOn w:val="1"/>
    <w:next w:val="1"/>
    <w:link w:val="73"/>
    <w:autoRedefine/>
    <w:qFormat/>
    <w:uiPriority w:val="0"/>
    <w:rPr>
      <w:rFonts w:ascii="宋体"/>
      <w:sz w:val="24"/>
      <w:szCs w:val="20"/>
    </w:rPr>
  </w:style>
  <w:style w:type="paragraph" w:styleId="30">
    <w:name w:val="Body Text Indent 2"/>
    <w:basedOn w:val="1"/>
    <w:link w:val="76"/>
    <w:autoRedefine/>
    <w:qFormat/>
    <w:uiPriority w:val="0"/>
    <w:pPr>
      <w:spacing w:line="360" w:lineRule="auto"/>
      <w:ind w:firstLine="480"/>
      <w:jc w:val="left"/>
    </w:pPr>
    <w:rPr>
      <w:sz w:val="24"/>
    </w:rPr>
  </w:style>
  <w:style w:type="paragraph" w:styleId="31">
    <w:name w:val="endnote text"/>
    <w:basedOn w:val="1"/>
    <w:link w:val="93"/>
    <w:autoRedefine/>
    <w:qFormat/>
    <w:uiPriority w:val="0"/>
    <w:pPr>
      <w:snapToGrid w:val="0"/>
      <w:jc w:val="left"/>
    </w:pPr>
  </w:style>
  <w:style w:type="paragraph" w:styleId="32">
    <w:name w:val="Balloon Text"/>
    <w:basedOn w:val="1"/>
    <w:link w:val="89"/>
    <w:autoRedefine/>
    <w:semiHidden/>
    <w:qFormat/>
    <w:uiPriority w:val="0"/>
    <w:rPr>
      <w:sz w:val="18"/>
      <w:szCs w:val="18"/>
    </w:rPr>
  </w:style>
  <w:style w:type="paragraph" w:styleId="33">
    <w:name w:val="footer"/>
    <w:basedOn w:val="1"/>
    <w:link w:val="72"/>
    <w:autoRedefine/>
    <w:qFormat/>
    <w:uiPriority w:val="0"/>
    <w:pPr>
      <w:tabs>
        <w:tab w:val="center" w:pos="4153"/>
        <w:tab w:val="right" w:pos="8306"/>
      </w:tabs>
      <w:snapToGrid w:val="0"/>
      <w:jc w:val="left"/>
    </w:pPr>
    <w:rPr>
      <w:sz w:val="18"/>
      <w:szCs w:val="18"/>
    </w:rPr>
  </w:style>
  <w:style w:type="paragraph" w:styleId="34">
    <w:name w:val="header"/>
    <w:basedOn w:val="1"/>
    <w:link w:val="71"/>
    <w:autoRedefine/>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qFormat/>
    <w:uiPriority w:val="39"/>
    <w:pPr>
      <w:spacing w:before="120" w:after="120"/>
      <w:jc w:val="left"/>
    </w:pPr>
    <w:rPr>
      <w:b/>
      <w:bCs/>
      <w:caps/>
    </w:rPr>
  </w:style>
  <w:style w:type="paragraph" w:styleId="36">
    <w:name w:val="toc 4"/>
    <w:basedOn w:val="1"/>
    <w:next w:val="1"/>
    <w:autoRedefine/>
    <w:qFormat/>
    <w:uiPriority w:val="39"/>
    <w:pPr>
      <w:ind w:left="630"/>
      <w:jc w:val="left"/>
    </w:pPr>
    <w:rPr>
      <w:szCs w:val="21"/>
    </w:rPr>
  </w:style>
  <w:style w:type="paragraph" w:styleId="37">
    <w:name w:val="index heading"/>
    <w:basedOn w:val="1"/>
    <w:next w:val="38"/>
    <w:autoRedefine/>
    <w:qFormat/>
    <w:uiPriority w:val="0"/>
  </w:style>
  <w:style w:type="paragraph" w:styleId="38">
    <w:name w:val="index 1"/>
    <w:basedOn w:val="1"/>
    <w:next w:val="1"/>
    <w:autoRedefine/>
    <w:semiHidden/>
    <w:qFormat/>
    <w:uiPriority w:val="0"/>
    <w:pPr>
      <w:adjustRightInd w:val="0"/>
      <w:snapToGrid w:val="0"/>
      <w:spacing w:line="360" w:lineRule="atLeast"/>
    </w:pPr>
    <w:rPr>
      <w:color w:val="000000"/>
      <w:szCs w:val="21"/>
    </w:rPr>
  </w:style>
  <w:style w:type="paragraph" w:styleId="39">
    <w:name w:val="toc 6"/>
    <w:basedOn w:val="1"/>
    <w:next w:val="1"/>
    <w:autoRedefine/>
    <w:qFormat/>
    <w:uiPriority w:val="39"/>
    <w:pPr>
      <w:ind w:left="1050"/>
      <w:jc w:val="left"/>
    </w:pPr>
    <w:rPr>
      <w:szCs w:val="21"/>
    </w:rPr>
  </w:style>
  <w:style w:type="paragraph" w:styleId="40">
    <w:name w:val="Body Text Indent 3"/>
    <w:basedOn w:val="1"/>
    <w:link w:val="78"/>
    <w:autoRedefine/>
    <w:qFormat/>
    <w:uiPriority w:val="0"/>
    <w:pPr>
      <w:adjustRightInd w:val="0"/>
      <w:snapToGrid w:val="0"/>
      <w:spacing w:line="500" w:lineRule="atLeast"/>
      <w:ind w:firstLine="480" w:firstLineChars="200"/>
    </w:pPr>
    <w:rPr>
      <w:sz w:val="24"/>
    </w:rPr>
  </w:style>
  <w:style w:type="paragraph" w:styleId="41">
    <w:name w:val="index 7"/>
    <w:basedOn w:val="1"/>
    <w:next w:val="1"/>
    <w:autoRedefine/>
    <w:semiHidden/>
    <w:qFormat/>
    <w:uiPriority w:val="0"/>
    <w:pPr>
      <w:ind w:left="1200" w:leftChars="1200"/>
    </w:pPr>
  </w:style>
  <w:style w:type="paragraph" w:styleId="42">
    <w:name w:val="index 9"/>
    <w:basedOn w:val="1"/>
    <w:next w:val="1"/>
    <w:autoRedefine/>
    <w:semiHidden/>
    <w:qFormat/>
    <w:uiPriority w:val="0"/>
    <w:pPr>
      <w:ind w:left="1600" w:leftChars="1600"/>
    </w:pPr>
  </w:style>
  <w:style w:type="paragraph" w:styleId="43">
    <w:name w:val="table of figures"/>
    <w:basedOn w:val="1"/>
    <w:next w:val="1"/>
    <w:autoRedefine/>
    <w:semiHidden/>
    <w:qFormat/>
    <w:uiPriority w:val="0"/>
    <w:pPr>
      <w:ind w:left="840" w:leftChars="200" w:hanging="420" w:hangingChars="200"/>
    </w:pPr>
  </w:style>
  <w:style w:type="paragraph" w:styleId="44">
    <w:name w:val="toc 2"/>
    <w:basedOn w:val="1"/>
    <w:next w:val="1"/>
    <w:autoRedefine/>
    <w:qFormat/>
    <w:uiPriority w:val="39"/>
    <w:pPr>
      <w:ind w:left="210"/>
      <w:jc w:val="left"/>
    </w:pPr>
    <w:rPr>
      <w:smallCaps/>
    </w:rPr>
  </w:style>
  <w:style w:type="paragraph" w:styleId="45">
    <w:name w:val="toc 9"/>
    <w:basedOn w:val="1"/>
    <w:next w:val="1"/>
    <w:autoRedefine/>
    <w:qFormat/>
    <w:uiPriority w:val="39"/>
    <w:pPr>
      <w:ind w:left="1680"/>
      <w:jc w:val="left"/>
    </w:pPr>
    <w:rPr>
      <w:szCs w:val="21"/>
    </w:rPr>
  </w:style>
  <w:style w:type="paragraph" w:styleId="46">
    <w:name w:val="Body Text 2"/>
    <w:basedOn w:val="1"/>
    <w:link w:val="81"/>
    <w:autoRedefine/>
    <w:qFormat/>
    <w:uiPriority w:val="0"/>
    <w:pPr>
      <w:adjustRightInd w:val="0"/>
      <w:snapToGrid w:val="0"/>
      <w:spacing w:line="360" w:lineRule="atLeast"/>
      <w:jc w:val="center"/>
    </w:pPr>
    <w:rPr>
      <w:b/>
      <w:bCs/>
      <w:snapToGrid w:val="0"/>
      <w:kern w:val="0"/>
    </w:rPr>
  </w:style>
  <w:style w:type="paragraph" w:styleId="47">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48">
    <w:name w:val="index 2"/>
    <w:basedOn w:val="1"/>
    <w:next w:val="1"/>
    <w:autoRedefine/>
    <w:semiHidden/>
    <w:qFormat/>
    <w:uiPriority w:val="0"/>
    <w:pPr>
      <w:ind w:left="200" w:leftChars="200"/>
    </w:pPr>
  </w:style>
  <w:style w:type="paragraph" w:styleId="49">
    <w:name w:val="annotation subject"/>
    <w:basedOn w:val="21"/>
    <w:next w:val="21"/>
    <w:link w:val="102"/>
    <w:autoRedefine/>
    <w:semiHidden/>
    <w:qFormat/>
    <w:uiPriority w:val="0"/>
    <w:rPr>
      <w:b/>
      <w:bCs/>
    </w:rPr>
  </w:style>
  <w:style w:type="paragraph" w:styleId="50">
    <w:name w:val="Body Text First Indent"/>
    <w:basedOn w:val="19"/>
    <w:autoRedefine/>
    <w:qFormat/>
    <w:uiPriority w:val="0"/>
    <w:pPr>
      <w:spacing w:line="240" w:lineRule="auto"/>
      <w:ind w:firstLine="420"/>
    </w:pPr>
    <w:rPr>
      <w:kern w:val="2"/>
    </w:rPr>
  </w:style>
  <w:style w:type="paragraph" w:styleId="51">
    <w:name w:val="Body Text First Indent 2"/>
    <w:basedOn w:val="1"/>
    <w:next w:val="1"/>
    <w:autoRedefine/>
    <w:qFormat/>
    <w:uiPriority w:val="0"/>
    <w:pPr>
      <w:ind w:firstLine="420" w:firstLineChars="200"/>
    </w:pPr>
  </w:style>
  <w:style w:type="table" w:styleId="53">
    <w:name w:val="Table Grid"/>
    <w:basedOn w:val="52"/>
    <w:autoRedefine/>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4">
    <w:name w:val="Table Professional"/>
    <w:basedOn w:val="52"/>
    <w:autoRedefine/>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56">
    <w:name w:val="Strong"/>
    <w:basedOn w:val="55"/>
    <w:autoRedefine/>
    <w:qFormat/>
    <w:uiPriority w:val="22"/>
    <w:rPr>
      <w:b/>
      <w:bCs/>
    </w:rPr>
  </w:style>
  <w:style w:type="character" w:styleId="57">
    <w:name w:val="endnote reference"/>
    <w:basedOn w:val="55"/>
    <w:autoRedefine/>
    <w:qFormat/>
    <w:uiPriority w:val="0"/>
    <w:rPr>
      <w:vertAlign w:val="superscript"/>
    </w:rPr>
  </w:style>
  <w:style w:type="character" w:styleId="58">
    <w:name w:val="page number"/>
    <w:basedOn w:val="55"/>
    <w:autoRedefine/>
    <w:qFormat/>
    <w:uiPriority w:val="0"/>
  </w:style>
  <w:style w:type="character" w:styleId="59">
    <w:name w:val="FollowedHyperlink"/>
    <w:basedOn w:val="55"/>
    <w:autoRedefine/>
    <w:qFormat/>
    <w:uiPriority w:val="0"/>
    <w:rPr>
      <w:color w:val="800080"/>
      <w:u w:val="single"/>
    </w:rPr>
  </w:style>
  <w:style w:type="character" w:styleId="60">
    <w:name w:val="Emphasis"/>
    <w:basedOn w:val="55"/>
    <w:autoRedefine/>
    <w:qFormat/>
    <w:uiPriority w:val="20"/>
    <w:rPr>
      <w:i/>
      <w:iCs/>
    </w:rPr>
  </w:style>
  <w:style w:type="character" w:styleId="61">
    <w:name w:val="Hyperlink"/>
    <w:basedOn w:val="55"/>
    <w:autoRedefine/>
    <w:qFormat/>
    <w:uiPriority w:val="99"/>
    <w:rPr>
      <w:color w:val="0000FF"/>
      <w:u w:val="single"/>
    </w:rPr>
  </w:style>
  <w:style w:type="character" w:styleId="62">
    <w:name w:val="annotation reference"/>
    <w:basedOn w:val="55"/>
    <w:autoRedefine/>
    <w:semiHidden/>
    <w:qFormat/>
    <w:uiPriority w:val="0"/>
    <w:rPr>
      <w:sz w:val="21"/>
      <w:szCs w:val="21"/>
    </w:rPr>
  </w:style>
  <w:style w:type="paragraph" w:customStyle="1" w:styleId="63">
    <w:name w:val="Char Char8"/>
    <w:basedOn w:val="18"/>
    <w:autoRedefine/>
    <w:qFormat/>
    <w:uiPriority w:val="0"/>
    <w:rPr>
      <w:rFonts w:ascii="Tahoma" w:hAnsi="Tahoma" w:cs="Tahoma"/>
      <w:sz w:val="24"/>
    </w:rPr>
  </w:style>
  <w:style w:type="paragraph" w:customStyle="1" w:styleId="64">
    <w:name w:val="Default"/>
    <w:next w:val="1"/>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5">
    <w:name w:val="报告正文"/>
    <w:basedOn w:val="1"/>
    <w:autoRedefine/>
    <w:qFormat/>
    <w:uiPriority w:val="0"/>
    <w:pPr>
      <w:spacing w:line="360" w:lineRule="auto"/>
      <w:ind w:firstLine="482"/>
    </w:pPr>
    <w:rPr>
      <w:sz w:val="24"/>
    </w:rPr>
  </w:style>
  <w:style w:type="character" w:customStyle="1" w:styleId="66">
    <w:name w:val="标题 1 Char"/>
    <w:basedOn w:val="55"/>
    <w:link w:val="3"/>
    <w:autoRedefine/>
    <w:qFormat/>
    <w:uiPriority w:val="0"/>
    <w:rPr>
      <w:rFonts w:ascii="Times New Roman" w:hAnsi="Times New Roman" w:eastAsia="宋体" w:cs="Times New Roman"/>
      <w:b/>
      <w:bCs/>
      <w:kern w:val="44"/>
      <w:sz w:val="44"/>
      <w:szCs w:val="44"/>
    </w:rPr>
  </w:style>
  <w:style w:type="character" w:customStyle="1" w:styleId="67">
    <w:name w:val="标题 2 Char"/>
    <w:basedOn w:val="55"/>
    <w:link w:val="4"/>
    <w:autoRedefine/>
    <w:qFormat/>
    <w:uiPriority w:val="0"/>
    <w:rPr>
      <w:rFonts w:ascii="Arial" w:hAnsi="Arial" w:eastAsia="宋体" w:cs="Arial"/>
      <w:b/>
      <w:bCs/>
      <w:snapToGrid w:val="0"/>
      <w:kern w:val="0"/>
      <w:sz w:val="32"/>
      <w:szCs w:val="32"/>
    </w:rPr>
  </w:style>
  <w:style w:type="character" w:customStyle="1" w:styleId="68">
    <w:name w:val="标题 3 Char"/>
    <w:basedOn w:val="55"/>
    <w:link w:val="5"/>
    <w:autoRedefine/>
    <w:qFormat/>
    <w:uiPriority w:val="0"/>
    <w:rPr>
      <w:rFonts w:ascii="Times New Roman" w:hAnsi="Times New Roman" w:eastAsia="宋体" w:cs="Times New Roman"/>
      <w:b/>
      <w:bCs/>
      <w:sz w:val="32"/>
      <w:szCs w:val="32"/>
    </w:rPr>
  </w:style>
  <w:style w:type="character" w:customStyle="1" w:styleId="69">
    <w:name w:val="标题 4 Char"/>
    <w:basedOn w:val="55"/>
    <w:link w:val="6"/>
    <w:autoRedefine/>
    <w:qFormat/>
    <w:uiPriority w:val="0"/>
    <w:rPr>
      <w:rFonts w:ascii="Times New Roman" w:hAnsi="Times New Roman" w:eastAsia="宋体" w:cs="Times New Roman"/>
      <w:b/>
      <w:bCs/>
      <w:snapToGrid w:val="0"/>
      <w:kern w:val="0"/>
      <w:szCs w:val="24"/>
    </w:rPr>
  </w:style>
  <w:style w:type="character" w:customStyle="1" w:styleId="70">
    <w:name w:val="标题 5 Char"/>
    <w:basedOn w:val="55"/>
    <w:link w:val="7"/>
    <w:autoRedefine/>
    <w:qFormat/>
    <w:uiPriority w:val="0"/>
    <w:rPr>
      <w:rFonts w:ascii="宋体" w:hAnsi="宋体" w:eastAsia="宋体" w:cs="Times New Roman"/>
      <w:b/>
      <w:bCs/>
      <w:color w:val="000000"/>
      <w:kern w:val="0"/>
      <w:sz w:val="24"/>
      <w:szCs w:val="24"/>
    </w:rPr>
  </w:style>
  <w:style w:type="character" w:customStyle="1" w:styleId="71">
    <w:name w:val="页眉 Char"/>
    <w:basedOn w:val="55"/>
    <w:link w:val="34"/>
    <w:autoRedefine/>
    <w:qFormat/>
    <w:uiPriority w:val="0"/>
    <w:rPr>
      <w:rFonts w:ascii="Times New Roman" w:hAnsi="Times New Roman" w:eastAsia="宋体" w:cs="Times New Roman"/>
      <w:sz w:val="18"/>
      <w:szCs w:val="18"/>
    </w:rPr>
  </w:style>
  <w:style w:type="character" w:customStyle="1" w:styleId="72">
    <w:name w:val="页脚 Char"/>
    <w:basedOn w:val="55"/>
    <w:link w:val="33"/>
    <w:autoRedefine/>
    <w:qFormat/>
    <w:uiPriority w:val="0"/>
    <w:rPr>
      <w:rFonts w:ascii="Times New Roman" w:hAnsi="Times New Roman" w:eastAsia="宋体" w:cs="Times New Roman"/>
      <w:sz w:val="18"/>
      <w:szCs w:val="18"/>
    </w:rPr>
  </w:style>
  <w:style w:type="character" w:customStyle="1" w:styleId="73">
    <w:name w:val="日期 Char"/>
    <w:basedOn w:val="55"/>
    <w:link w:val="29"/>
    <w:autoRedefine/>
    <w:qFormat/>
    <w:uiPriority w:val="0"/>
    <w:rPr>
      <w:rFonts w:ascii="宋体" w:hAnsi="Times New Roman" w:eastAsia="宋体" w:cs="Times New Roman"/>
      <w:sz w:val="24"/>
      <w:szCs w:val="20"/>
    </w:rPr>
  </w:style>
  <w:style w:type="character" w:customStyle="1" w:styleId="74">
    <w:name w:val="正文文本缩进 Char"/>
    <w:basedOn w:val="55"/>
    <w:link w:val="23"/>
    <w:autoRedefine/>
    <w:qFormat/>
    <w:uiPriority w:val="0"/>
    <w:rPr>
      <w:rFonts w:ascii="Times New Roman" w:hAnsi="Times New Roman" w:eastAsia="宋体" w:cs="Times New Roman"/>
      <w:snapToGrid w:val="0"/>
      <w:kern w:val="0"/>
      <w:sz w:val="24"/>
      <w:szCs w:val="24"/>
    </w:rPr>
  </w:style>
  <w:style w:type="character" w:customStyle="1" w:styleId="75">
    <w:name w:val="文档结构图 Char"/>
    <w:basedOn w:val="55"/>
    <w:link w:val="18"/>
    <w:autoRedefine/>
    <w:semiHidden/>
    <w:qFormat/>
    <w:uiPriority w:val="0"/>
    <w:rPr>
      <w:rFonts w:ascii="Times New Roman" w:hAnsi="Times New Roman" w:eastAsia="宋体" w:cs="Times New Roman"/>
      <w:szCs w:val="24"/>
      <w:shd w:val="clear" w:color="auto" w:fill="000080"/>
    </w:rPr>
  </w:style>
  <w:style w:type="character" w:customStyle="1" w:styleId="76">
    <w:name w:val="正文文本缩进 2 Char"/>
    <w:basedOn w:val="55"/>
    <w:link w:val="30"/>
    <w:autoRedefine/>
    <w:qFormat/>
    <w:uiPriority w:val="0"/>
    <w:rPr>
      <w:rFonts w:ascii="Times New Roman" w:hAnsi="Times New Roman" w:eastAsia="宋体" w:cs="Times New Roman"/>
      <w:sz w:val="24"/>
      <w:szCs w:val="24"/>
    </w:rPr>
  </w:style>
  <w:style w:type="character" w:customStyle="1" w:styleId="77">
    <w:name w:val="正文文本 Char"/>
    <w:basedOn w:val="55"/>
    <w:link w:val="19"/>
    <w:autoRedefine/>
    <w:qFormat/>
    <w:uiPriority w:val="0"/>
    <w:rPr>
      <w:rFonts w:ascii="Times New Roman" w:hAnsi="Times New Roman" w:eastAsia="宋体" w:cs="Times New Roman"/>
      <w:snapToGrid w:val="0"/>
      <w:kern w:val="0"/>
      <w:sz w:val="24"/>
      <w:szCs w:val="24"/>
    </w:rPr>
  </w:style>
  <w:style w:type="character" w:customStyle="1" w:styleId="78">
    <w:name w:val="正文文本缩进 3 Char"/>
    <w:basedOn w:val="55"/>
    <w:link w:val="40"/>
    <w:autoRedefine/>
    <w:qFormat/>
    <w:uiPriority w:val="0"/>
    <w:rPr>
      <w:rFonts w:ascii="Times New Roman" w:hAnsi="Times New Roman" w:eastAsia="宋体" w:cs="Times New Roman"/>
      <w:sz w:val="24"/>
      <w:szCs w:val="24"/>
    </w:rPr>
  </w:style>
  <w:style w:type="character" w:customStyle="1" w:styleId="79">
    <w:name w:val="标题1"/>
    <w:basedOn w:val="55"/>
    <w:autoRedefine/>
    <w:qFormat/>
    <w:uiPriority w:val="0"/>
    <w:rPr>
      <w:rFonts w:eastAsia="隶书"/>
      <w:b/>
      <w:sz w:val="44"/>
    </w:rPr>
  </w:style>
  <w:style w:type="character" w:customStyle="1" w:styleId="80">
    <w:name w:val="正文1"/>
    <w:basedOn w:val="55"/>
    <w:autoRedefine/>
    <w:qFormat/>
    <w:uiPriority w:val="0"/>
  </w:style>
  <w:style w:type="character" w:customStyle="1" w:styleId="81">
    <w:name w:val="正文文本 2 Char"/>
    <w:basedOn w:val="55"/>
    <w:link w:val="46"/>
    <w:autoRedefine/>
    <w:qFormat/>
    <w:uiPriority w:val="0"/>
    <w:rPr>
      <w:rFonts w:ascii="Times New Roman" w:hAnsi="Times New Roman" w:eastAsia="宋体" w:cs="Times New Roman"/>
      <w:b/>
      <w:bCs/>
      <w:snapToGrid w:val="0"/>
      <w:kern w:val="0"/>
      <w:szCs w:val="24"/>
    </w:rPr>
  </w:style>
  <w:style w:type="paragraph" w:customStyle="1" w:styleId="82">
    <w:name w:val="1"/>
    <w:basedOn w:val="1"/>
    <w:next w:val="19"/>
    <w:autoRedefine/>
    <w:qFormat/>
    <w:uiPriority w:val="0"/>
    <w:pPr>
      <w:spacing w:after="120"/>
    </w:pPr>
    <w:rPr>
      <w:szCs w:val="20"/>
    </w:rPr>
  </w:style>
  <w:style w:type="character" w:customStyle="1" w:styleId="83">
    <w:name w:val="ttitle1"/>
    <w:basedOn w:val="55"/>
    <w:autoRedefine/>
    <w:qFormat/>
    <w:uiPriority w:val="0"/>
    <w:rPr>
      <w:spacing w:val="120"/>
      <w:sz w:val="14"/>
      <w:szCs w:val="14"/>
    </w:rPr>
  </w:style>
  <w:style w:type="paragraph" w:customStyle="1" w:styleId="84">
    <w:name w:val="Char Char Char Char"/>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85">
    <w:name w:val="纯文本 Char"/>
    <w:basedOn w:val="55"/>
    <w:link w:val="2"/>
    <w:autoRedefine/>
    <w:qFormat/>
    <w:uiPriority w:val="0"/>
    <w:rPr>
      <w:rFonts w:ascii="宋体" w:hAnsi="Courier New" w:eastAsia="宋体" w:cs="Courier New"/>
      <w:szCs w:val="21"/>
    </w:rPr>
  </w:style>
  <w:style w:type="paragraph" w:customStyle="1" w:styleId="86">
    <w:name w:val="Char"/>
    <w:basedOn w:val="1"/>
    <w:autoRedefine/>
    <w:qFormat/>
    <w:uiPriority w:val="0"/>
    <w:pPr>
      <w:tabs>
        <w:tab w:val="left" w:pos="4665"/>
        <w:tab w:val="left" w:pos="8970"/>
      </w:tabs>
      <w:ind w:firstLine="400"/>
    </w:pPr>
    <w:rPr>
      <w:rFonts w:ascii="Tahoma" w:hAnsi="Tahoma"/>
      <w:sz w:val="24"/>
      <w:szCs w:val="20"/>
    </w:rPr>
  </w:style>
  <w:style w:type="paragraph" w:customStyle="1" w:styleId="87">
    <w:name w:val="Char Char Char Char Char Char Char Char Char Char Char Char Char Char Char"/>
    <w:basedOn w:val="1"/>
    <w:autoRedefine/>
    <w:qFormat/>
    <w:uiPriority w:val="0"/>
    <w:pPr>
      <w:widowControl/>
      <w:spacing w:after="160" w:line="240" w:lineRule="exact"/>
      <w:jc w:val="left"/>
    </w:pPr>
    <w:rPr>
      <w:rFonts w:ascii="Tahoma" w:hAnsi="Tahoma"/>
      <w:kern w:val="0"/>
      <w:sz w:val="20"/>
      <w:szCs w:val="20"/>
      <w:lang w:eastAsia="en-US"/>
    </w:rPr>
  </w:style>
  <w:style w:type="character" w:customStyle="1" w:styleId="88">
    <w:name w:val="tit2"/>
    <w:basedOn w:val="55"/>
    <w:autoRedefine/>
    <w:qFormat/>
    <w:uiPriority w:val="0"/>
    <w:rPr>
      <w:b/>
      <w:bCs/>
      <w:sz w:val="48"/>
      <w:szCs w:val="48"/>
    </w:rPr>
  </w:style>
  <w:style w:type="character" w:customStyle="1" w:styleId="89">
    <w:name w:val="批注框文本 Char"/>
    <w:basedOn w:val="55"/>
    <w:link w:val="32"/>
    <w:autoRedefine/>
    <w:semiHidden/>
    <w:qFormat/>
    <w:uiPriority w:val="0"/>
    <w:rPr>
      <w:rFonts w:ascii="Times New Roman" w:hAnsi="Times New Roman" w:eastAsia="宋体" w:cs="Times New Roman"/>
      <w:sz w:val="18"/>
      <w:szCs w:val="18"/>
    </w:rPr>
  </w:style>
  <w:style w:type="paragraph" w:customStyle="1" w:styleId="90">
    <w:name w:val="Char1 Char Char Char"/>
    <w:basedOn w:val="1"/>
    <w:autoRedefine/>
    <w:qFormat/>
    <w:uiPriority w:val="0"/>
    <w:pPr>
      <w:spacing w:line="360" w:lineRule="auto"/>
      <w:ind w:firstLine="200" w:firstLineChars="200"/>
    </w:pPr>
    <w:rPr>
      <w:rFonts w:ascii="宋体" w:hAnsi="宋体" w:cs="宋体"/>
      <w:sz w:val="24"/>
    </w:rPr>
  </w:style>
  <w:style w:type="paragraph" w:styleId="91">
    <w:name w:val="List Paragraph"/>
    <w:basedOn w:val="1"/>
    <w:autoRedefine/>
    <w:qFormat/>
    <w:uiPriority w:val="34"/>
    <w:pPr>
      <w:spacing w:line="276" w:lineRule="auto"/>
      <w:ind w:firstLine="420" w:firstLineChars="200"/>
    </w:pPr>
    <w:rPr>
      <w:rFonts w:ascii="Calibri" w:hAnsi="Calibri"/>
      <w:szCs w:val="22"/>
    </w:rPr>
  </w:style>
  <w:style w:type="character" w:customStyle="1" w:styleId="92">
    <w:name w:val="zw1"/>
    <w:basedOn w:val="55"/>
    <w:autoRedefine/>
    <w:qFormat/>
    <w:uiPriority w:val="0"/>
    <w:rPr>
      <w:rFonts w:hint="eastAsia" w:ascii="宋体" w:hAnsi="宋体" w:eastAsia="宋体"/>
      <w:spacing w:val="440"/>
      <w:sz w:val="22"/>
      <w:szCs w:val="22"/>
    </w:rPr>
  </w:style>
  <w:style w:type="character" w:customStyle="1" w:styleId="93">
    <w:name w:val="尾注文本 Char"/>
    <w:basedOn w:val="55"/>
    <w:link w:val="31"/>
    <w:autoRedefine/>
    <w:qFormat/>
    <w:uiPriority w:val="0"/>
    <w:rPr>
      <w:rFonts w:ascii="Times New Roman" w:hAnsi="Times New Roman" w:eastAsia="宋体" w:cs="Times New Roman"/>
      <w:szCs w:val="24"/>
    </w:rPr>
  </w:style>
  <w:style w:type="paragraph" w:customStyle="1" w:styleId="94">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正文文本缩进 New"/>
    <w:basedOn w:val="95"/>
    <w:autoRedefine/>
    <w:qFormat/>
    <w:uiPriority w:val="0"/>
    <w:pPr>
      <w:spacing w:line="500" w:lineRule="exact"/>
      <w:ind w:firstLine="260" w:firstLineChars="100"/>
    </w:pPr>
    <w:rPr>
      <w:rFonts w:ascii="宋体" w:hAnsi="宋体"/>
      <w:spacing w:val="10"/>
      <w:sz w:val="24"/>
      <w:szCs w:val="30"/>
    </w:rPr>
  </w:style>
  <w:style w:type="paragraph" w:customStyle="1" w:styleId="98">
    <w:name w:val="TOC 标题1"/>
    <w:basedOn w:val="3"/>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9">
    <w:name w:val="标题 3 New New New New"/>
    <w:basedOn w:val="100"/>
    <w:next w:val="100"/>
    <w:autoRedefine/>
    <w:qFormat/>
    <w:uiPriority w:val="0"/>
    <w:pPr>
      <w:keepNext/>
      <w:keepLines/>
      <w:spacing w:before="260" w:after="260" w:line="416" w:lineRule="auto"/>
      <w:outlineLvl w:val="2"/>
    </w:pPr>
    <w:rPr>
      <w:b/>
      <w:bCs/>
      <w:sz w:val="32"/>
      <w:szCs w:val="32"/>
    </w:rPr>
  </w:style>
  <w:style w:type="paragraph" w:customStyle="1" w:styleId="100">
    <w:name w:val="正文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1">
    <w:name w:val="批注文字 Char"/>
    <w:basedOn w:val="55"/>
    <w:link w:val="21"/>
    <w:autoRedefine/>
    <w:semiHidden/>
    <w:qFormat/>
    <w:uiPriority w:val="0"/>
    <w:rPr>
      <w:rFonts w:ascii="Times New Roman" w:hAnsi="Times New Roman" w:eastAsia="宋体" w:cs="Times New Roman"/>
      <w:szCs w:val="24"/>
    </w:rPr>
  </w:style>
  <w:style w:type="character" w:customStyle="1" w:styleId="102">
    <w:name w:val="批注主题 Char"/>
    <w:basedOn w:val="101"/>
    <w:link w:val="49"/>
    <w:autoRedefine/>
    <w:semiHidden/>
    <w:qFormat/>
    <w:uiPriority w:val="0"/>
    <w:rPr>
      <w:rFonts w:ascii="Times New Roman" w:hAnsi="Times New Roman" w:eastAsia="宋体" w:cs="Times New Roman"/>
      <w:b/>
      <w:bCs/>
      <w:szCs w:val="24"/>
    </w:rPr>
  </w:style>
  <w:style w:type="paragraph" w:customStyle="1" w:styleId="103">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4">
    <w:name w:val="正文缩进 Char"/>
    <w:basedOn w:val="55"/>
    <w:link w:val="9"/>
    <w:autoRedefine/>
    <w:qFormat/>
    <w:uiPriority w:val="0"/>
    <w:rPr>
      <w:rFonts w:ascii="Times New Roman" w:hAnsi="Times New Roman" w:eastAsia="宋体" w:cs="Times New Roman"/>
      <w:szCs w:val="24"/>
    </w:rPr>
  </w:style>
  <w:style w:type="paragraph" w:customStyle="1" w:styleId="105">
    <w:name w:val="标题 2 New"/>
    <w:basedOn w:val="95"/>
    <w:next w:val="95"/>
    <w:autoRedefine/>
    <w:qFormat/>
    <w:uiPriority w:val="0"/>
    <w:pPr>
      <w:keepNext/>
      <w:keepLines/>
      <w:adjustRightInd w:val="0"/>
      <w:snapToGrid w:val="0"/>
      <w:spacing w:before="260" w:after="260" w:line="500" w:lineRule="atLeast"/>
      <w:outlineLvl w:val="1"/>
    </w:pPr>
    <w:rPr>
      <w:rFonts w:ascii="Arial" w:hAnsi="Arial" w:eastAsia="黑体"/>
      <w:b/>
      <w:bCs/>
      <w:sz w:val="32"/>
      <w:szCs w:val="32"/>
    </w:rPr>
  </w:style>
  <w:style w:type="paragraph" w:customStyle="1" w:styleId="106">
    <w:name w:val="标题 3 New"/>
    <w:basedOn w:val="95"/>
    <w:next w:val="95"/>
    <w:autoRedefine/>
    <w:qFormat/>
    <w:uiPriority w:val="0"/>
    <w:pPr>
      <w:keepNext/>
      <w:keepLines/>
      <w:spacing w:before="260" w:after="260" w:line="416" w:lineRule="auto"/>
      <w:outlineLvl w:val="2"/>
    </w:pPr>
    <w:rPr>
      <w:b/>
      <w:bCs/>
      <w:sz w:val="32"/>
      <w:szCs w:val="32"/>
    </w:rPr>
  </w:style>
  <w:style w:type="paragraph" w:customStyle="1" w:styleId="107">
    <w:name w:val="标题 4 New"/>
    <w:basedOn w:val="95"/>
    <w:next w:val="1"/>
    <w:autoRedefine/>
    <w:qFormat/>
    <w:uiPriority w:val="0"/>
    <w:pPr>
      <w:keepNext/>
      <w:keepLines/>
      <w:spacing w:before="120" w:after="120" w:line="400" w:lineRule="exact"/>
      <w:outlineLvl w:val="3"/>
    </w:pPr>
    <w:rPr>
      <w:b/>
      <w:sz w:val="24"/>
      <w:szCs w:val="20"/>
    </w:rPr>
  </w:style>
  <w:style w:type="paragraph" w:customStyle="1" w:styleId="108">
    <w:name w:val="标题 3 New New New New New"/>
    <w:basedOn w:val="1"/>
    <w:next w:val="1"/>
    <w:autoRedefine/>
    <w:qFormat/>
    <w:uiPriority w:val="0"/>
    <w:pPr>
      <w:keepNext/>
      <w:keepLines/>
      <w:spacing w:before="260" w:after="260" w:line="416" w:lineRule="auto"/>
      <w:outlineLvl w:val="2"/>
    </w:pPr>
    <w:rPr>
      <w:b/>
      <w:bCs/>
      <w:sz w:val="32"/>
      <w:szCs w:val="32"/>
    </w:rPr>
  </w:style>
  <w:style w:type="paragraph" w:customStyle="1" w:styleId="109">
    <w:name w:val="正文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
    <w:name w:val="默认段落字体 Para Char Char Char Char"/>
    <w:basedOn w:val="1"/>
    <w:autoRedefine/>
    <w:qFormat/>
    <w:uiPriority w:val="0"/>
  </w:style>
  <w:style w:type="character" w:customStyle="1" w:styleId="111">
    <w:name w:val="标题 7 Char"/>
    <w:basedOn w:val="55"/>
    <w:link w:val="8"/>
    <w:autoRedefine/>
    <w:qFormat/>
    <w:uiPriority w:val="0"/>
    <w:rPr>
      <w:rFonts w:ascii="Times New Roman" w:hAnsi="Times New Roman" w:eastAsia="宋体" w:cs="Times New Roman"/>
      <w:b/>
      <w:sz w:val="24"/>
      <w:szCs w:val="20"/>
    </w:rPr>
  </w:style>
  <w:style w:type="character" w:customStyle="1" w:styleId="112">
    <w:name w:val="标题 8 Char"/>
    <w:basedOn w:val="55"/>
    <w:link w:val="10"/>
    <w:autoRedefine/>
    <w:qFormat/>
    <w:uiPriority w:val="0"/>
    <w:rPr>
      <w:rFonts w:ascii="Arial" w:hAnsi="Arial" w:eastAsia="黑体" w:cs="Times New Roman"/>
      <w:sz w:val="24"/>
      <w:szCs w:val="20"/>
    </w:rPr>
  </w:style>
  <w:style w:type="character" w:customStyle="1" w:styleId="113">
    <w:name w:val="标题 9 Char"/>
    <w:basedOn w:val="55"/>
    <w:link w:val="11"/>
    <w:autoRedefine/>
    <w:qFormat/>
    <w:uiPriority w:val="0"/>
    <w:rPr>
      <w:rFonts w:ascii="Arial" w:hAnsi="Arial" w:eastAsia="黑体" w:cs="Times New Roman"/>
      <w:szCs w:val="20"/>
    </w:rPr>
  </w:style>
  <w:style w:type="paragraph" w:customStyle="1" w:styleId="114">
    <w:name w:val="5"/>
    <w:basedOn w:val="1"/>
    <w:next w:val="40"/>
    <w:autoRedefine/>
    <w:qFormat/>
    <w:uiPriority w:val="0"/>
    <w:pPr>
      <w:adjustRightInd w:val="0"/>
      <w:snapToGrid w:val="0"/>
      <w:spacing w:line="500" w:lineRule="atLeast"/>
      <w:ind w:firstLine="480" w:firstLineChars="200"/>
    </w:pPr>
    <w:rPr>
      <w:sz w:val="24"/>
    </w:rPr>
  </w:style>
  <w:style w:type="paragraph" w:customStyle="1" w:styleId="115">
    <w:name w:val="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16">
    <w:name w:val="Char Char Char Char Char Char Char Char Char Char Char Char Char Char Char1"/>
    <w:basedOn w:val="1"/>
    <w:autoRedefine/>
    <w:qFormat/>
    <w:uiPriority w:val="0"/>
    <w:pPr>
      <w:widowControl/>
      <w:spacing w:after="160" w:line="240" w:lineRule="exact"/>
      <w:jc w:val="left"/>
    </w:pPr>
    <w:rPr>
      <w:szCs w:val="20"/>
    </w:rPr>
  </w:style>
  <w:style w:type="paragraph" w:customStyle="1" w:styleId="117">
    <w:name w:val="正文文本缩进 New New New New New"/>
    <w:basedOn w:val="118"/>
    <w:autoRedefine/>
    <w:qFormat/>
    <w:uiPriority w:val="0"/>
    <w:pPr>
      <w:spacing w:after="120"/>
      <w:ind w:left="420" w:leftChars="200"/>
    </w:pPr>
  </w:style>
  <w:style w:type="paragraph" w:customStyle="1" w:styleId="118">
    <w:name w:val="正文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
    <w:name w:val="一级条标题"/>
    <w:next w:val="5"/>
    <w:autoRedefine/>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20">
    <w:name w:val="章标题"/>
    <w:next w:val="5"/>
    <w:autoRedefine/>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21">
    <w:name w:val="二级条标题"/>
    <w:basedOn w:val="119"/>
    <w:next w:val="5"/>
    <w:autoRedefine/>
    <w:qFormat/>
    <w:uiPriority w:val="0"/>
    <w:pPr>
      <w:numPr>
        <w:ilvl w:val="2"/>
      </w:numPr>
      <w:spacing w:before="50" w:after="50"/>
      <w:outlineLvl w:val="3"/>
    </w:pPr>
  </w:style>
  <w:style w:type="paragraph" w:customStyle="1" w:styleId="122">
    <w:name w:val="三级条标题"/>
    <w:basedOn w:val="121"/>
    <w:next w:val="5"/>
    <w:autoRedefine/>
    <w:qFormat/>
    <w:uiPriority w:val="0"/>
    <w:pPr>
      <w:numPr>
        <w:ilvl w:val="3"/>
      </w:numPr>
      <w:outlineLvl w:val="4"/>
    </w:pPr>
  </w:style>
  <w:style w:type="paragraph" w:customStyle="1" w:styleId="123">
    <w:name w:val="四级条标题"/>
    <w:basedOn w:val="122"/>
    <w:next w:val="5"/>
    <w:autoRedefine/>
    <w:qFormat/>
    <w:uiPriority w:val="0"/>
    <w:pPr>
      <w:numPr>
        <w:ilvl w:val="4"/>
      </w:numPr>
      <w:outlineLvl w:val="5"/>
    </w:pPr>
  </w:style>
  <w:style w:type="paragraph" w:customStyle="1" w:styleId="124">
    <w:name w:val="五级条标题"/>
    <w:basedOn w:val="123"/>
    <w:next w:val="5"/>
    <w:autoRedefine/>
    <w:qFormat/>
    <w:uiPriority w:val="0"/>
    <w:pPr>
      <w:numPr>
        <w:ilvl w:val="5"/>
      </w:numPr>
      <w:outlineLvl w:val="6"/>
    </w:pPr>
  </w:style>
  <w:style w:type="paragraph" w:customStyle="1" w:styleId="125">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127">
    <w:name w:val="正文2"/>
    <w:basedOn w:val="1"/>
    <w:autoRedefine/>
    <w:qFormat/>
    <w:uiPriority w:val="0"/>
    <w:pPr>
      <w:spacing w:line="500" w:lineRule="exact"/>
      <w:ind w:firstLine="560" w:firstLineChars="200"/>
    </w:pPr>
    <w:rPr>
      <w:sz w:val="28"/>
      <w:szCs w:val="28"/>
    </w:rPr>
  </w:style>
  <w:style w:type="paragraph" w:customStyle="1" w:styleId="12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9">
    <w:name w:val="样式 标题4A"/>
    <w:basedOn w:val="6"/>
    <w:autoRedefine/>
    <w:qFormat/>
    <w:uiPriority w:val="0"/>
    <w:pPr>
      <w:spacing w:beforeLines="50" w:afterLines="50" w:line="360" w:lineRule="auto"/>
    </w:pPr>
    <w:rPr>
      <w:rFonts w:cs="宋体"/>
      <w:color w:val="000000"/>
    </w:rPr>
  </w:style>
  <w:style w:type="paragraph" w:customStyle="1" w:styleId="130">
    <w:name w:val="标题 31"/>
    <w:basedOn w:val="1"/>
    <w:next w:val="1"/>
    <w:autoRedefine/>
    <w:qFormat/>
    <w:uiPriority w:val="0"/>
    <w:pPr>
      <w:keepNext/>
      <w:keepLines/>
      <w:spacing w:before="120" w:after="120" w:line="360" w:lineRule="auto"/>
      <w:jc w:val="left"/>
      <w:outlineLvl w:val="2"/>
    </w:pPr>
    <w:rPr>
      <w:rFonts w:ascii="Arial" w:hAnsi="Arial"/>
      <w:b/>
      <w:bCs/>
      <w:sz w:val="28"/>
      <w:szCs w:val="28"/>
    </w:rPr>
  </w:style>
  <w:style w:type="paragraph" w:customStyle="1" w:styleId="131">
    <w:name w:val="标题 3 New New"/>
    <w:basedOn w:val="1"/>
    <w:next w:val="1"/>
    <w:autoRedefine/>
    <w:qFormat/>
    <w:uiPriority w:val="0"/>
    <w:pPr>
      <w:keepNext/>
      <w:keepLines/>
      <w:spacing w:beforeLines="50" w:afterLines="50" w:line="500" w:lineRule="exact"/>
      <w:outlineLvl w:val="2"/>
    </w:pPr>
    <w:rPr>
      <w:rFonts w:eastAsia="黑体"/>
      <w:b/>
      <w:color w:val="00FF00"/>
      <w:sz w:val="32"/>
      <w:szCs w:val="32"/>
    </w:rPr>
  </w:style>
  <w:style w:type="paragraph" w:customStyle="1" w:styleId="132">
    <w:name w:val="f100"/>
    <w:basedOn w:val="1"/>
    <w:autoRedefine/>
    <w:qFormat/>
    <w:uiPriority w:val="0"/>
    <w:pPr>
      <w:widowControl/>
      <w:jc w:val="left"/>
    </w:pPr>
    <w:rPr>
      <w:rFonts w:ascii="宋体" w:hAnsi="宋体" w:cs="宋体"/>
      <w:kern w:val="0"/>
      <w:sz w:val="24"/>
    </w:rPr>
  </w:style>
  <w:style w:type="paragraph" w:customStyle="1" w:styleId="133">
    <w:name w:val="正文缩进 New"/>
    <w:basedOn w:val="1"/>
    <w:autoRedefine/>
    <w:qFormat/>
    <w:uiPriority w:val="0"/>
    <w:pPr>
      <w:ind w:firstLine="420"/>
    </w:pPr>
    <w:rPr>
      <w:rFonts w:ascii="宋体"/>
    </w:rPr>
  </w:style>
  <w:style w:type="paragraph" w:customStyle="1" w:styleId="134">
    <w:name w:val="BIG BOLD"/>
    <w:basedOn w:val="1"/>
    <w:autoRedefine/>
    <w:qFormat/>
    <w:uiPriority w:val="0"/>
    <w:pPr>
      <w:tabs>
        <w:tab w:val="left" w:leader="underscore" w:pos="1134"/>
      </w:tabs>
    </w:pPr>
    <w:rPr>
      <w:szCs w:val="20"/>
    </w:rPr>
  </w:style>
  <w:style w:type="paragraph" w:customStyle="1" w:styleId="135">
    <w:name w:val="表格1"/>
    <w:autoRedefine/>
    <w:qFormat/>
    <w:uiPriority w:val="0"/>
    <w:pPr>
      <w:adjustRightInd w:val="0"/>
      <w:spacing w:line="360" w:lineRule="auto"/>
      <w:jc w:val="center"/>
      <w:textAlignment w:val="center"/>
    </w:pPr>
    <w:rPr>
      <w:rFonts w:ascii="Times New Roman" w:hAnsi="Times New Roman" w:eastAsia="宋体" w:cs="Times New Roman"/>
      <w:sz w:val="21"/>
      <w:lang w:val="en-US" w:eastAsia="zh-CN" w:bidi="ar-SA"/>
    </w:rPr>
  </w:style>
  <w:style w:type="paragraph" w:customStyle="1" w:styleId="136">
    <w:name w:val="填表5"/>
    <w:basedOn w:val="1"/>
    <w:next w:val="1"/>
    <w:autoRedefine/>
    <w:qFormat/>
    <w:uiPriority w:val="0"/>
    <w:pPr>
      <w:spacing w:line="240" w:lineRule="exact"/>
    </w:pPr>
    <w:rPr>
      <w:rFonts w:ascii="宋体" w:hAnsi="宋体"/>
      <w:szCs w:val="21"/>
    </w:rPr>
  </w:style>
  <w:style w:type="paragraph" w:customStyle="1" w:styleId="137">
    <w:name w:val="填表5中"/>
    <w:basedOn w:val="1"/>
    <w:next w:val="1"/>
    <w:autoRedefine/>
    <w:qFormat/>
    <w:uiPriority w:val="0"/>
    <w:pPr>
      <w:jc w:val="center"/>
    </w:pPr>
    <w:rPr>
      <w:szCs w:val="21"/>
    </w:rPr>
  </w:style>
  <w:style w:type="paragraph" w:customStyle="1" w:styleId="138">
    <w:name w:val="填表5行距12磅"/>
    <w:basedOn w:val="136"/>
    <w:autoRedefine/>
    <w:qFormat/>
    <w:uiPriority w:val="0"/>
    <w:pPr>
      <w:snapToGrid w:val="0"/>
    </w:pPr>
    <w:rPr>
      <w:rFonts w:cs="宋体"/>
      <w:szCs w:val="20"/>
    </w:rPr>
  </w:style>
  <w:style w:type="character" w:customStyle="1" w:styleId="139">
    <w:name w:val="f3"/>
    <w:basedOn w:val="55"/>
    <w:autoRedefine/>
    <w:qFormat/>
    <w:uiPriority w:val="0"/>
  </w:style>
  <w:style w:type="character" w:customStyle="1" w:styleId="140">
    <w:name w:val="apple-converted-space"/>
    <w:basedOn w:val="55"/>
    <w:autoRedefine/>
    <w:qFormat/>
    <w:uiPriority w:val="0"/>
  </w:style>
  <w:style w:type="paragraph" w:customStyle="1" w:styleId="141">
    <w:name w:val="样式111"/>
    <w:autoRedefine/>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142">
    <w:name w:val="表格内容"/>
    <w:basedOn w:val="1"/>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143">
    <w:name w:val="标准"/>
    <w:basedOn w:val="1"/>
    <w:autoRedefine/>
    <w:qFormat/>
    <w:uiPriority w:val="0"/>
    <w:pPr>
      <w:tabs>
        <w:tab w:val="left" w:pos="720"/>
      </w:tabs>
      <w:adjustRightInd w:val="0"/>
      <w:spacing w:line="312" w:lineRule="atLeast"/>
      <w:textAlignment w:val="baseline"/>
    </w:pPr>
    <w:rPr>
      <w:kern w:val="0"/>
      <w:szCs w:val="20"/>
    </w:rPr>
  </w:style>
  <w:style w:type="paragraph" w:customStyle="1" w:styleId="144">
    <w:name w:val="表格0412"/>
    <w:basedOn w:val="145"/>
    <w:next w:val="1"/>
    <w:autoRedefine/>
    <w:qFormat/>
    <w:uiPriority w:val="0"/>
    <w:pPr>
      <w:tabs>
        <w:tab w:val="left" w:pos="900"/>
        <w:tab w:val="left" w:pos="1080"/>
        <w:tab w:val="left" w:pos="1440"/>
        <w:tab w:val="left" w:pos="1560"/>
        <w:tab w:val="left" w:pos="1620"/>
        <w:tab w:val="left" w:pos="2160"/>
        <w:tab w:val="left" w:pos="3555"/>
      </w:tabs>
      <w:spacing w:line="240" w:lineRule="auto"/>
      <w:ind w:firstLine="0"/>
      <w:jc w:val="center"/>
    </w:pPr>
    <w:rPr>
      <w:rFonts w:ascii="宋体" w:hAnsi="宋体"/>
      <w:b/>
      <w:color w:val="000000"/>
      <w:kern w:val="2"/>
      <w:sz w:val="21"/>
      <w:szCs w:val="21"/>
    </w:rPr>
  </w:style>
  <w:style w:type="paragraph" w:customStyle="1" w:styleId="145">
    <w:name w:val="样式4"/>
    <w:basedOn w:val="23"/>
    <w:autoRedefine/>
    <w:qFormat/>
    <w:uiPriority w:val="0"/>
    <w:pPr>
      <w:tabs>
        <w:tab w:val="left" w:pos="900"/>
        <w:tab w:val="left" w:pos="1080"/>
        <w:tab w:val="left" w:pos="1440"/>
        <w:tab w:val="left" w:pos="1560"/>
        <w:tab w:val="left" w:pos="1620"/>
        <w:tab w:val="left" w:pos="2160"/>
        <w:tab w:val="left" w:pos="3555"/>
      </w:tabs>
      <w:ind w:firstLine="646" w:firstLineChars="0"/>
    </w:pPr>
    <w:rPr>
      <w:sz w:val="28"/>
    </w:rPr>
  </w:style>
  <w:style w:type="paragraph" w:customStyle="1" w:styleId="146">
    <w:name w:val="首行缩进"/>
    <w:basedOn w:val="1"/>
    <w:autoRedefine/>
    <w:qFormat/>
    <w:uiPriority w:val="0"/>
    <w:pPr>
      <w:ind w:firstLine="482"/>
    </w:pPr>
    <w:rPr>
      <w:rFonts w:ascii="宋体"/>
      <w:sz w:val="28"/>
    </w:rPr>
  </w:style>
  <w:style w:type="paragraph" w:customStyle="1" w:styleId="147">
    <w:name w:val="封面1"/>
    <w:basedOn w:val="1"/>
    <w:autoRedefine/>
    <w:qFormat/>
    <w:uiPriority w:val="99"/>
    <w:pPr>
      <w:jc w:val="center"/>
    </w:pPr>
    <w:rPr>
      <w:rFonts w:ascii="宋体" w:hAnsi="宋体"/>
      <w:b/>
      <w:bCs/>
      <w:kern w:val="3"/>
      <w:sz w:val="44"/>
      <w:szCs w:val="48"/>
    </w:rPr>
  </w:style>
  <w:style w:type="character" w:customStyle="1" w:styleId="148">
    <w:name w:val="正文6"/>
    <w:autoRedefine/>
    <w:qFormat/>
    <w:uiPriority w:val="0"/>
    <w:rPr>
      <w:rFonts w:ascii="Times New Roman" w:hAnsi="Times New Roman" w:eastAsia="宋体"/>
      <w:spacing w:val="0"/>
      <w:w w:val="100"/>
      <w:position w:val="0"/>
      <w:sz w:val="28"/>
      <w:szCs w:val="28"/>
    </w:rPr>
  </w:style>
  <w:style w:type="paragraph" w:customStyle="1" w:styleId="149">
    <w:name w:val="样式 标题 1 + 四号 段前: 0 磅 段后: 0 磅 行距: 1.5 倍行距"/>
    <w:basedOn w:val="150"/>
    <w:next w:val="151"/>
    <w:autoRedefine/>
    <w:qFormat/>
    <w:uiPriority w:val="0"/>
    <w:pPr>
      <w:spacing w:line="360" w:lineRule="auto"/>
      <w:jc w:val="center"/>
    </w:pPr>
    <w:rPr>
      <w:rFonts w:hAnsi="黑体"/>
      <w:sz w:val="21"/>
    </w:rPr>
  </w:style>
  <w:style w:type="paragraph" w:customStyle="1" w:styleId="150">
    <w:name w:val="1正文"/>
    <w:basedOn w:val="1"/>
    <w:autoRedefine/>
    <w:qFormat/>
    <w:uiPriority w:val="0"/>
    <w:pPr>
      <w:autoSpaceDE w:val="0"/>
      <w:autoSpaceDN w:val="0"/>
      <w:adjustRightInd w:val="0"/>
      <w:snapToGrid w:val="0"/>
      <w:spacing w:line="500" w:lineRule="exact"/>
      <w:ind w:firstLine="588" w:firstLineChars="196"/>
      <w:jc w:val="left"/>
    </w:pPr>
    <w:rPr>
      <w:sz w:val="30"/>
      <w:szCs w:val="30"/>
    </w:rPr>
  </w:style>
  <w:style w:type="paragraph" w:customStyle="1" w:styleId="151">
    <w:name w:val="文本正文"/>
    <w:basedOn w:val="1"/>
    <w:autoRedefine/>
    <w:qFormat/>
    <w:uiPriority w:val="0"/>
    <w:pPr>
      <w:snapToGrid w:val="0"/>
      <w:spacing w:line="360" w:lineRule="auto"/>
      <w:ind w:firstLine="510"/>
      <w:jc w:val="left"/>
    </w:pPr>
    <w:rPr>
      <w:spacing w:val="4"/>
      <w:kern w:val="24"/>
      <w:lang w:val="zh-CN"/>
    </w:rPr>
  </w:style>
  <w:style w:type="paragraph" w:customStyle="1" w:styleId="152">
    <w:name w:val="无"/>
    <w:basedOn w:val="1"/>
    <w:autoRedefine/>
    <w:qFormat/>
    <w:uiPriority w:val="0"/>
  </w:style>
  <w:style w:type="paragraph" w:customStyle="1" w:styleId="153">
    <w:name w:val="Closed"/>
    <w:basedOn w:val="1"/>
    <w:autoRedefine/>
    <w:qFormat/>
    <w:uiPriority w:val="0"/>
    <w:pPr>
      <w:keepLines/>
      <w:widowControl/>
      <w:spacing w:before="120" w:line="360" w:lineRule="auto"/>
      <w:ind w:firstLine="200" w:firstLineChars="200"/>
      <w:jc w:val="left"/>
    </w:pPr>
    <w:rPr>
      <w:rFonts w:ascii="Arial" w:hAnsi="Arial"/>
      <w:kern w:val="0"/>
      <w:sz w:val="28"/>
      <w:szCs w:val="20"/>
      <w:lang w:eastAsia="en-US"/>
    </w:rPr>
  </w:style>
  <w:style w:type="paragraph" w:customStyle="1" w:styleId="154">
    <w:name w:val="表体"/>
    <w:basedOn w:val="1"/>
    <w:autoRedefine/>
    <w:qFormat/>
    <w:uiPriority w:val="0"/>
    <w:pPr>
      <w:jc w:val="center"/>
    </w:pPr>
  </w:style>
  <w:style w:type="paragraph" w:customStyle="1" w:styleId="155">
    <w:name w:val="样式 首行缩进:  2 字符"/>
    <w:basedOn w:val="1"/>
    <w:autoRedefine/>
    <w:qFormat/>
    <w:uiPriority w:val="0"/>
    <w:pPr>
      <w:spacing w:line="360" w:lineRule="auto"/>
      <w:ind w:firstLine="560" w:firstLineChars="200"/>
    </w:pPr>
    <w:rPr>
      <w:rFonts w:cs="宋体"/>
      <w:sz w:val="28"/>
      <w:szCs w:val="20"/>
    </w:rPr>
  </w:style>
  <w:style w:type="character" w:customStyle="1" w:styleId="156">
    <w:name w:val="DefaultFontStyle"/>
    <w:autoRedefine/>
    <w:qFormat/>
    <w:uiPriority w:val="0"/>
  </w:style>
  <w:style w:type="paragraph" w:customStyle="1" w:styleId="157">
    <w:name w:val="Heading #2|1"/>
    <w:basedOn w:val="1"/>
    <w:autoRedefine/>
    <w:qFormat/>
    <w:uiPriority w:val="0"/>
    <w:pPr>
      <w:spacing w:after="660"/>
      <w:jc w:val="center"/>
      <w:outlineLvl w:val="1"/>
    </w:pPr>
    <w:rPr>
      <w:rFonts w:ascii="宋体" w:hAnsi="宋体" w:cs="宋体"/>
      <w:sz w:val="28"/>
      <w:szCs w:val="28"/>
      <w:lang w:val="zh-TW" w:eastAsia="zh-TW" w:bidi="zh-TW"/>
    </w:rPr>
  </w:style>
  <w:style w:type="paragraph" w:customStyle="1" w:styleId="158">
    <w:name w:val="Body text|2"/>
    <w:basedOn w:val="1"/>
    <w:autoRedefine/>
    <w:qFormat/>
    <w:uiPriority w:val="0"/>
    <w:pPr>
      <w:spacing w:after="40"/>
      <w:ind w:firstLine="400"/>
    </w:pPr>
    <w:rPr>
      <w:sz w:val="20"/>
      <w:szCs w:val="20"/>
    </w:rPr>
  </w:style>
  <w:style w:type="paragraph" w:customStyle="1" w:styleId="159">
    <w:name w:val="Body text|1"/>
    <w:basedOn w:val="1"/>
    <w:autoRedefine/>
    <w:qFormat/>
    <w:uiPriority w:val="0"/>
    <w:pPr>
      <w:spacing w:after="80"/>
      <w:ind w:firstLine="400"/>
    </w:pPr>
    <w:rPr>
      <w:rFonts w:ascii="宋体" w:hAnsi="宋体" w:cs="宋体"/>
      <w:sz w:val="19"/>
      <w:szCs w:val="19"/>
      <w:lang w:val="zh-TW" w:eastAsia="zh-TW" w:bidi="zh-TW"/>
    </w:rPr>
  </w:style>
  <w:style w:type="paragraph" w:customStyle="1" w:styleId="160">
    <w:name w:val="Header or footer|1"/>
    <w:basedOn w:val="1"/>
    <w:autoRedefine/>
    <w:qFormat/>
    <w:uiPriority w:val="0"/>
    <w:rPr>
      <w:sz w:val="20"/>
      <w:szCs w:val="20"/>
    </w:rPr>
  </w:style>
  <w:style w:type="paragraph" w:customStyle="1" w:styleId="161">
    <w:name w:val="2标题"/>
    <w:basedOn w:val="4"/>
    <w:next w:val="1"/>
    <w:autoRedefine/>
    <w:qFormat/>
    <w:uiPriority w:val="0"/>
    <w:pPr>
      <w:autoSpaceDE w:val="0"/>
      <w:autoSpaceDN w:val="0"/>
      <w:adjustRightInd w:val="0"/>
      <w:spacing w:before="360" w:after="360" w:line="520" w:lineRule="exact"/>
    </w:pPr>
    <w:rPr>
      <w:rFonts w:ascii="Times New Roman" w:hAnsi="Times New Roman" w:eastAsia="华文中宋" w:cs="Times New Roman"/>
      <w:bCs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wmf"/><Relationship Id="rId31" Type="http://schemas.openxmlformats.org/officeDocument/2006/relationships/image" Target="media/image20.wmf"/><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6436D7-4893-4E74-952C-00EBC6F46A4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154</Pages>
  <Words>97163</Words>
  <Characters>108743</Characters>
  <Lines>858</Lines>
  <Paragraphs>241</Paragraphs>
  <TotalTime>2443</TotalTime>
  <ScaleCrop>false</ScaleCrop>
  <LinksUpToDate>false</LinksUpToDate>
  <CharactersWithSpaces>111463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2017-05-02T08:04:00Z</dcterms:created>
  <dc:creator>pc</dc:creator>
  <cp:lastModifiedBy>林塞＆图灵</cp:lastModifiedBy>
  <cp:lastPrinted>2017-05-09T09:07:00Z</cp:lastPrinted>
  <dcterms:modified xsi:type="dcterms:W3CDTF">2024-02-04T06:50:17Z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5D90EA0FC19D4005AF4710A33B438FF3_13</vt:lpwstr>
  </property>
</Properties>
</file>